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D3" w:rsidRDefault="00377DD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377DD3" w:rsidRDefault="00377DD3">
      <w:pPr>
        <w:pStyle w:val="newncpi"/>
        <w:ind w:firstLine="0"/>
        <w:jc w:val="center"/>
      </w:pPr>
      <w:r>
        <w:rPr>
          <w:rStyle w:val="datepr"/>
        </w:rPr>
        <w:t>4 апреля 2019 г.</w:t>
      </w:r>
      <w:r>
        <w:rPr>
          <w:rStyle w:val="number"/>
        </w:rPr>
        <w:t xml:space="preserve"> № 24</w:t>
      </w:r>
    </w:p>
    <w:p w:rsidR="00377DD3" w:rsidRDefault="00377DD3">
      <w:pPr>
        <w:pStyle w:val="titlencpi"/>
      </w:pPr>
      <w:r>
        <w:t>О порядке определения претендентов на занесение на Республиканскую доску Почета</w:t>
      </w:r>
    </w:p>
    <w:p w:rsidR="00377DD3" w:rsidRDefault="00377DD3">
      <w:pPr>
        <w:pStyle w:val="preamble"/>
      </w:pPr>
      <w:r>
        <w:t>На основании пункта 9 Положения о Республиканской доске Почета, утвержденного Указом Президента Республики Беларусь от 30 сентября 1999 г. № 573, подпункта 6.49 пункта 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 сентября 2016 г. № 702, Министерство антимонопольного регулирования и торговли Республики Беларусь ПОСТАНОВЛЯЕТ:</w:t>
      </w:r>
    </w:p>
    <w:p w:rsidR="00377DD3" w:rsidRDefault="00377DD3">
      <w:pPr>
        <w:pStyle w:val="point"/>
      </w:pPr>
      <w:r>
        <w:t>1. Утвердить Инструкцию о порядке определения претендентов на занесение на Республиканскую доску Почета (прилагается).</w:t>
      </w:r>
    </w:p>
    <w:p w:rsidR="00377DD3" w:rsidRDefault="00377DD3">
      <w:pPr>
        <w:pStyle w:val="point"/>
      </w:pPr>
      <w:r>
        <w:t>2. Признать утратившим силу постановление Министерства антимонопольного регулирования и торговли Республики Беларусь от 5 апреля 2017 г. № 22 «О некоторых вопросах определения претендентов среди организаций торговли и организаций, предоставляющих услуги общественного питания и прочие индивидуальные услуги, на занесение на Республиканскую доску Почета».</w:t>
      </w:r>
    </w:p>
    <w:p w:rsidR="00377DD3" w:rsidRDefault="00377DD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377DD3" w:rsidRDefault="00377D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377DD3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7DD3" w:rsidRDefault="00377DD3">
            <w:pPr>
              <w:pStyle w:val="newncpi0"/>
              <w:jc w:val="left"/>
            </w:pPr>
            <w:r>
              <w:rPr>
                <w:rStyle w:val="post"/>
              </w:rPr>
              <w:t>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7DD3" w:rsidRDefault="00377DD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И.В.Вежновец</w:t>
            </w:r>
            <w:proofErr w:type="spellEnd"/>
          </w:p>
        </w:tc>
      </w:tr>
    </w:tbl>
    <w:p w:rsidR="00377DD3" w:rsidRDefault="00377DD3" w:rsidP="00377DD3">
      <w:pPr>
        <w:pStyle w:val="newncpi0"/>
        <w:spacing w:line="240" w:lineRule="exact"/>
      </w:pPr>
      <w:r>
        <w:t> </w:t>
      </w:r>
    </w:p>
    <w:p w:rsidR="00BF43FA" w:rsidRDefault="00BF43FA" w:rsidP="00377DD3">
      <w:pPr>
        <w:pStyle w:val="newncpi0"/>
        <w:spacing w:line="240" w:lineRule="exac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3467"/>
      </w:tblGrid>
      <w:tr w:rsidR="00377DD3">
        <w:trPr>
          <w:trHeight w:val="238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capu1"/>
            </w:pPr>
            <w:r>
              <w:t>УТВЕРЖДЕНО</w:t>
            </w:r>
          </w:p>
          <w:p w:rsidR="00377DD3" w:rsidRDefault="00377DD3">
            <w:pPr>
              <w:pStyle w:val="cap1"/>
            </w:pPr>
            <w:r>
              <w:t>Постановление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377DD3" w:rsidRDefault="00377DD3">
            <w:pPr>
              <w:pStyle w:val="cap1"/>
            </w:pPr>
            <w:r>
              <w:t>04.04.2019 № 24</w:t>
            </w:r>
          </w:p>
        </w:tc>
      </w:tr>
    </w:tbl>
    <w:p w:rsidR="00377DD3" w:rsidRDefault="00377DD3">
      <w:pPr>
        <w:pStyle w:val="titleu"/>
      </w:pPr>
      <w:r>
        <w:t>ИНСТРУКЦИЯ</w:t>
      </w:r>
      <w:r>
        <w:br/>
        <w:t>о порядке определения претендентов на занесение на Республиканскую доску Почета</w:t>
      </w:r>
    </w:p>
    <w:p w:rsidR="00377DD3" w:rsidRDefault="00377DD3">
      <w:pPr>
        <w:pStyle w:val="point"/>
      </w:pPr>
      <w:r>
        <w:t>1. Настоящая Инструкция устанавливает порядок определения претендентов среди организаций торговли и организаций, предоставляющих услуги общественного питания и прочие индивидуальные услуги (далее, если не установлено иное, – организации) на занесение на Республиканскую доску Почета за достижение высоких результатов в сфере социально-экономического развития.</w:t>
      </w:r>
    </w:p>
    <w:p w:rsidR="00377DD3" w:rsidRDefault="00377DD3">
      <w:pPr>
        <w:pStyle w:val="point"/>
      </w:pPr>
      <w:r>
        <w:t>2. Определение претендентов на занесение на Республиканскую доску Почета (далее, если не установлено иное, – претенденты) осуществляется по итогам работы за отчетный год.</w:t>
      </w:r>
    </w:p>
    <w:p w:rsidR="00377DD3" w:rsidRDefault="00377DD3">
      <w:pPr>
        <w:pStyle w:val="point"/>
      </w:pPr>
      <w:r>
        <w:t>3. Количество мест на Республиканской доске Почета для поощрения организаций по итогам работы за отчетный год – восемь, в том числе для организаций:</w:t>
      </w:r>
    </w:p>
    <w:p w:rsidR="00377DD3" w:rsidRDefault="00377DD3">
      <w:pPr>
        <w:pStyle w:val="newncpi"/>
      </w:pPr>
      <w:r>
        <w:t>торговли – четыре;</w:t>
      </w:r>
    </w:p>
    <w:p w:rsidR="00377DD3" w:rsidRDefault="00377DD3">
      <w:pPr>
        <w:pStyle w:val="newncpi"/>
      </w:pPr>
      <w:r>
        <w:t>предоставляющих услуги общественного питания, – два;</w:t>
      </w:r>
    </w:p>
    <w:p w:rsidR="00377DD3" w:rsidRDefault="00377DD3">
      <w:pPr>
        <w:pStyle w:val="newncpi"/>
      </w:pPr>
      <w:r>
        <w:t>предоставляющих прочие индивидуальные услуги, – два.</w:t>
      </w:r>
    </w:p>
    <w:p w:rsidR="00377DD3" w:rsidRDefault="00377DD3">
      <w:pPr>
        <w:pStyle w:val="point"/>
      </w:pPr>
      <w:r>
        <w:t>4. Участниками конкурсного отбора для занесения на Республиканскую доску Почета могут быть зарегистрированные на территории Республики Беларусь организации.</w:t>
      </w:r>
    </w:p>
    <w:p w:rsidR="00377DD3" w:rsidRDefault="00377DD3">
      <w:pPr>
        <w:pStyle w:val="newncpi"/>
      </w:pPr>
      <w:r>
        <w:t>Не вправе участвовать в конкурсном отборе организации:</w:t>
      </w:r>
    </w:p>
    <w:p w:rsidR="00377DD3" w:rsidRDefault="00377DD3">
      <w:pPr>
        <w:pStyle w:val="newncpi"/>
      </w:pPr>
      <w:r>
        <w:t>которые находятся в процессе реорганизации либо в отношении которых возбуждено производство по делу об экономической несостоятельности (банкротстве);</w:t>
      </w:r>
    </w:p>
    <w:p w:rsidR="00377DD3" w:rsidRDefault="00377DD3">
      <w:pPr>
        <w:pStyle w:val="newncpi"/>
      </w:pPr>
      <w:r>
        <w:lastRenderedPageBreak/>
        <w:t>со дня государственной регистрации которых прошло менее пяти календарных лет до 31 декабря отчетного года.</w:t>
      </w:r>
    </w:p>
    <w:p w:rsidR="00377DD3" w:rsidRDefault="00377DD3">
      <w:pPr>
        <w:pStyle w:val="newncpi"/>
      </w:pPr>
      <w:r>
        <w:t>Организации,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377DD3" w:rsidRDefault="00377DD3">
      <w:pPr>
        <w:pStyle w:val="point"/>
      </w:pPr>
      <w:r>
        <w:t>5. Выдвижение лучших кандидатур для определения претендентов (далее – лучшие кандидатуры) осуществляется областными исполнительными комитетами и Минским городским исполнительным комитетом (далее – облисполкомы и Минский горисполком) из числа организаций всех форм собственности при соблюдении обязательных условий:</w:t>
      </w:r>
    </w:p>
    <w:p w:rsidR="00377DD3" w:rsidRDefault="00377DD3">
      <w:pPr>
        <w:pStyle w:val="newncpi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377DD3" w:rsidRDefault="00377DD3">
      <w:pPr>
        <w:pStyle w:val="newncpi"/>
      </w:pPr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:rsidR="00377DD3" w:rsidRDefault="00377DD3">
      <w:pPr>
        <w:pStyle w:val="newncpi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:rsidR="00377DD3" w:rsidRDefault="00377DD3">
      <w:pPr>
        <w:pStyle w:val="newncpi"/>
      </w:pPr>
      <w:proofErr w:type="spellStart"/>
      <w:r>
        <w:t>непредоставление</w:t>
      </w:r>
      <w:proofErr w:type="spellEnd"/>
      <w:r>
        <w:t xml:space="preserve"> этим организациям в течение отчетного года:</w:t>
      </w:r>
    </w:p>
    <w:p w:rsidR="00377DD3" w:rsidRDefault="00377DD3">
      <w:pPr>
        <w:pStyle w:val="newncpi"/>
      </w:pPr>
      <w:r>
        <w:t>государственной финансовой поддержки на условиях срочности, платности и возвратности, оказанной в соответствии с подпунктом 1.7 пункта 1 Указа Президента Республики Беларусь от 23 марта 2016 г. № 106 «О государственных программах и оказании государственной финансовой поддержки»;</w:t>
      </w:r>
    </w:p>
    <w:p w:rsidR="00377DD3" w:rsidRDefault="00377DD3">
      <w:pPr>
        <w:pStyle w:val="newncpi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377DD3" w:rsidRDefault="00377DD3">
      <w:pPr>
        <w:pStyle w:val="newncpi"/>
      </w:pPr>
      <w:r>
        <w:t>отсрочки и (или) рассрочки уплаты налогов, сборов (пошлин), пеней, налогового кредита;</w:t>
      </w:r>
    </w:p>
    <w:p w:rsidR="00377DD3" w:rsidRDefault="00377DD3">
      <w:pPr>
        <w:pStyle w:val="newncpi"/>
      </w:pPr>
      <w:r>
        <w:t>иной государственной поддержки, решение о предоставлении которой принято до вступления в силу Указа Президента Республики Беларусь от 23 марта 2016 г. № 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предоставления государственной поддержки.</w:t>
      </w:r>
    </w:p>
    <w:p w:rsidR="00377DD3" w:rsidRDefault="00377DD3">
      <w:pPr>
        <w:pStyle w:val="newncpi"/>
      </w:pPr>
      <w:r>
        <w:t>Оценка работы организаций осуществляется в целом по юридическому лицу, включая его обособленные подразделения.</w:t>
      </w:r>
    </w:p>
    <w:p w:rsidR="00377DD3" w:rsidRDefault="00377DD3">
      <w:pPr>
        <w:pStyle w:val="point"/>
      </w:pPr>
      <w:r>
        <w:t>6. Количество лучших кандидатур, выдвигаемых облисполкомами и Минским горисполкомом, для:</w:t>
      </w:r>
    </w:p>
    <w:p w:rsidR="00377DD3" w:rsidRDefault="00377DD3">
      <w:pPr>
        <w:pStyle w:val="newncpi"/>
      </w:pPr>
      <w:r>
        <w:t>организаций торговли – не более четырех;</w:t>
      </w:r>
    </w:p>
    <w:p w:rsidR="00377DD3" w:rsidRDefault="00377DD3">
      <w:pPr>
        <w:pStyle w:val="newncpi"/>
      </w:pPr>
      <w:r>
        <w:t>организаций, предоставляющих услуги общественного питания, – не более двух;</w:t>
      </w:r>
    </w:p>
    <w:p w:rsidR="00377DD3" w:rsidRDefault="00377DD3">
      <w:pPr>
        <w:pStyle w:val="newncpi"/>
      </w:pPr>
      <w:r>
        <w:t>организаций, оказывающих прочие индивидуальные услуги, – не более двух.</w:t>
      </w:r>
    </w:p>
    <w:p w:rsidR="00377DD3" w:rsidRDefault="00377DD3">
      <w:pPr>
        <w:pStyle w:val="point"/>
      </w:pPr>
      <w:r>
        <w:t>7. Для определения претендентов облисполкомы и Минский горисполком до 1 марта года, следующего за отчетным годом, на рассмотрение в Министерство антимонопольного регулирования и торговли представляют:</w:t>
      </w:r>
    </w:p>
    <w:p w:rsidR="00377DD3" w:rsidRDefault="00377DD3">
      <w:pPr>
        <w:pStyle w:val="newncpi"/>
      </w:pPr>
      <w:r>
        <w:t>перечень заявок на участие в конкурсном отборе для занесения на Республиканскую доску Почета в номинации, составленных организациями по форме согласно приложению 1;</w:t>
      </w:r>
    </w:p>
    <w:p w:rsidR="00377DD3" w:rsidRDefault="00377DD3">
      <w:pPr>
        <w:pStyle w:val="newncpi"/>
      </w:pPr>
      <w:r>
        <w:t>перечень лучших кандидатур;</w:t>
      </w:r>
    </w:p>
    <w:p w:rsidR="00377DD3" w:rsidRDefault="00377DD3">
      <w:pPr>
        <w:pStyle w:val="newncpi"/>
      </w:pPr>
      <w:r>
        <w:t>решение об утверждении перечня лучших кандидатур;</w:t>
      </w:r>
    </w:p>
    <w:p w:rsidR="00377DD3" w:rsidRDefault="00377DD3">
      <w:pPr>
        <w:pStyle w:val="newncpi"/>
      </w:pPr>
      <w:r>
        <w:t>справки о выполнении показателей оценки работы за отчетный год согласно приложениям 2–5;</w:t>
      </w:r>
    </w:p>
    <w:p w:rsidR="00377DD3" w:rsidRDefault="00377DD3">
      <w:pPr>
        <w:pStyle w:val="newncpi"/>
      </w:pPr>
      <w:r>
        <w:t>справку о выполнении обязательных условий для занесения на Республиканскую доску Почета, критериев и показателей оценки работы за отчетный год согласно приложению 6;</w:t>
      </w:r>
    </w:p>
    <w:p w:rsidR="00377DD3" w:rsidRDefault="00377DD3">
      <w:pPr>
        <w:pStyle w:val="newncpi"/>
      </w:pPr>
      <w:r>
        <w:lastRenderedPageBreak/>
        <w:t>информацию об итогах деятельности и достижениях за отчетный год.</w:t>
      </w:r>
    </w:p>
    <w:p w:rsidR="00377DD3" w:rsidRDefault="00377DD3">
      <w:pPr>
        <w:pStyle w:val="point"/>
      </w:pPr>
      <w:r>
        <w:t>8. Материалы, представленные в Министерство антимонопольного регулирования и торговли облисполкомами и Минским горисполкомом, с нарушением установленных сроков и (или) не соответствующие требованиям настоящей Инструкции, не рассматриваются.</w:t>
      </w:r>
    </w:p>
    <w:p w:rsidR="00377DD3" w:rsidRDefault="00377DD3">
      <w:pPr>
        <w:pStyle w:val="point"/>
      </w:pPr>
      <w:r>
        <w:t>9. Оценка работы претендентов на занесение на Республиканскую доску почета среди организаций торговли, организаций общественного питания и организаций, предоставляющих прочие индивидуальные услуги, по итогам работы за отчетный год осуществляется на основании показателей согласно приложению 7.</w:t>
      </w:r>
    </w:p>
    <w:p w:rsidR="00377DD3" w:rsidRDefault="00377DD3">
      <w:pPr>
        <w:pStyle w:val="newncpi"/>
      </w:pPr>
      <w:r>
        <w:t>Претенденты определяются с использованием балльной системы, предусматривающей начисление организации баллов по каждому из показателей и их суммирование в итоговый балл.</w:t>
      </w:r>
    </w:p>
    <w:p w:rsidR="00377DD3" w:rsidRDefault="00377DD3">
      <w:pPr>
        <w:pStyle w:val="newncpi"/>
      </w:pPr>
      <w:r>
        <w:t>Высший балл соответствует количеству принятых к рассмотрению лучших кандидатур и начисляется организации, достигшей наилучшего значения данного показателя по сравнению с другими.</w:t>
      </w:r>
    </w:p>
    <w:p w:rsidR="00377DD3" w:rsidRDefault="00377DD3">
      <w:pPr>
        <w:pStyle w:val="newncpi"/>
      </w:pPr>
      <w:r>
        <w:t>Последующие баллы начисляются организациям в порядке убывания на один балл в зависимости от величины показателя.</w:t>
      </w:r>
    </w:p>
    <w:p w:rsidR="00377DD3" w:rsidRDefault="00377DD3">
      <w:pPr>
        <w:pStyle w:val="newncpi"/>
      </w:pPr>
      <w:r>
        <w:t>В случае равенства значений показателя у нескольких организаций им начисляется равное количество баллов. Организации, занявшей следующее за ними место, начисляется балл, уменьшенный на количество организаций, занявших равные места.</w:t>
      </w:r>
    </w:p>
    <w:p w:rsidR="00377DD3" w:rsidRDefault="00377DD3">
      <w:pPr>
        <w:pStyle w:val="newncpi"/>
      </w:pPr>
      <w:r>
        <w:t>При равной сумме набранных баллов учитывается социально-экономическая значимость организаций для регионов, их месторасположение, иные достижения.</w:t>
      </w:r>
    </w:p>
    <w:p w:rsidR="00377DD3" w:rsidRDefault="00377DD3">
      <w:pPr>
        <w:pStyle w:val="point"/>
      </w:pPr>
      <w:r>
        <w:t>10. Претенденты среди организаций торговли и организаций, предоставляющих услуги общественного питания, определяются Министерством антимонопольного регулирования и торговли совместно с Белорусским республиканским союзом потребительских обществ, среди организаций, предоставляющих прочие индивидуальные услуги, – Министерством антимонопольного регулирования и торговли.</w:t>
      </w:r>
    </w:p>
    <w:p w:rsidR="00377DD3" w:rsidRDefault="00377DD3">
      <w:pPr>
        <w:pStyle w:val="newncpi"/>
      </w:pPr>
      <w:r>
        <w:t>Для определения претендентов в Министерстве антимонопольного регулирования и торговли ежегодно создаются соответствующие комиссии.</w:t>
      </w:r>
    </w:p>
    <w:p w:rsidR="00377DD3" w:rsidRDefault="00377DD3">
      <w:pPr>
        <w:pStyle w:val="newncpi"/>
      </w:pPr>
      <w:r>
        <w:t>Решения комиссий оформляются протоколами.</w:t>
      </w:r>
    </w:p>
    <w:p w:rsidR="00377DD3" w:rsidRDefault="00377DD3">
      <w:pPr>
        <w:pStyle w:val="newncpi"/>
      </w:pPr>
      <w:r>
        <w:t>Перечень претендентов на занесение на Республиканскую доску Почета утверждается решением коллегии Министерства антимонопольного регулирования и торговли.</w:t>
      </w:r>
    </w:p>
    <w:p w:rsidR="00377DD3" w:rsidRDefault="00377DD3">
      <w:pPr>
        <w:pStyle w:val="point"/>
      </w:pPr>
      <w:r>
        <w:t>11. Министерство антимонопольного регулирования и торговли до 12 марта года, следующего за отчетным годом, в Министерство экономики представляет:</w:t>
      </w:r>
    </w:p>
    <w:p w:rsidR="00377DD3" w:rsidRDefault="00377DD3">
      <w:pPr>
        <w:pStyle w:val="newncpi"/>
      </w:pPr>
      <w:r>
        <w:t>перечень заявок на участие в конкурсном отборе на занесение на Республиканскую доску Почета;</w:t>
      </w:r>
    </w:p>
    <w:p w:rsidR="00377DD3" w:rsidRDefault="00377DD3">
      <w:pPr>
        <w:pStyle w:val="newncpi"/>
      </w:pPr>
      <w:r>
        <w:t>перечень претендентов на занесение на Республиканскую доску Почета;</w:t>
      </w:r>
    </w:p>
    <w:p w:rsidR="00377DD3" w:rsidRDefault="00377DD3">
      <w:pPr>
        <w:pStyle w:val="newncpi"/>
      </w:pPr>
      <w:r>
        <w:t>решение об утверждении перечня претендентов на занесение на Республиканскую доску Почета;</w:t>
      </w:r>
    </w:p>
    <w:p w:rsidR="00377DD3" w:rsidRDefault="00377DD3">
      <w:pPr>
        <w:pStyle w:val="newncpi"/>
      </w:pPr>
      <w:r>
        <w:t>справку о выполнении обязательных условий для занесения на Республиканскую доску Почета, критериев и показателей оценки работы за отчетный год согласно приложению 6;</w:t>
      </w:r>
    </w:p>
    <w:p w:rsidR="00377DD3" w:rsidRDefault="00377DD3">
      <w:pPr>
        <w:pStyle w:val="newncpi"/>
      </w:pPr>
      <w:r>
        <w:t>информацию об итогах деятельности претендентов и их достижениях за отчетный год. </w:t>
      </w:r>
    </w:p>
    <w:p w:rsidR="00377DD3" w:rsidRDefault="00377DD3">
      <w:pPr>
        <w:rPr>
          <w:rFonts w:eastAsia="Times New Roman"/>
        </w:rPr>
        <w:sectPr w:rsidR="00377DD3" w:rsidSect="00BF43FA">
          <w:headerReference w:type="even" r:id="rId7"/>
          <w:headerReference w:type="default" r:id="rId8"/>
          <w:pgSz w:w="11906" w:h="16840"/>
          <w:pgMar w:top="1134" w:right="567" w:bottom="1134" w:left="1400" w:header="280" w:footer="180" w:gutter="0"/>
          <w:cols w:space="708"/>
          <w:titlePg/>
          <w:docGrid w:linePitch="360"/>
        </w:sectPr>
      </w:pPr>
    </w:p>
    <w:p w:rsidR="00377DD3" w:rsidRDefault="00377DD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863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1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begform"/>
      </w:pPr>
      <w:r>
        <w:t>  </w:t>
      </w:r>
    </w:p>
    <w:p w:rsidR="00377DD3" w:rsidRDefault="00377DD3">
      <w:pPr>
        <w:pStyle w:val="onestring"/>
      </w:pPr>
      <w:r>
        <w:t>Форма</w:t>
      </w:r>
    </w:p>
    <w:p w:rsidR="00377DD3" w:rsidRDefault="00377DD3">
      <w:pPr>
        <w:pStyle w:val="titlep"/>
        <w:spacing w:after="0"/>
      </w:pPr>
      <w:r>
        <w:t>Заявка</w:t>
      </w:r>
      <w:r>
        <w:br/>
        <w:t>на участие в конкурсном отборе для занесения на Республиканскую доску Почета в номинации</w:t>
      </w:r>
    </w:p>
    <w:p w:rsidR="00377DD3" w:rsidRDefault="00377DD3">
      <w:pPr>
        <w:pStyle w:val="newncpi0"/>
        <w:jc w:val="center"/>
      </w:pPr>
      <w:r>
        <w:t>_____________________________________________________________________________</w:t>
      </w:r>
    </w:p>
    <w:p w:rsidR="00377DD3" w:rsidRDefault="00377DD3">
      <w:pPr>
        <w:pStyle w:val="undline"/>
        <w:jc w:val="center"/>
      </w:pPr>
      <w:r>
        <w:t>(название номинации)</w:t>
      </w:r>
    </w:p>
    <w:p w:rsidR="00377DD3" w:rsidRDefault="00377DD3">
      <w:pPr>
        <w:pStyle w:val="newncpi0"/>
      </w:pPr>
      <w:r>
        <w:t>1. Полное наименование юридического лица (в соответствии с Уставом) на русском языке _____________________________________________________________________________</w:t>
      </w:r>
    </w:p>
    <w:p w:rsidR="00377DD3" w:rsidRDefault="00377DD3">
      <w:pPr>
        <w:pStyle w:val="newncpi0"/>
      </w:pPr>
      <w:r>
        <w:t>2. Местонахождение юридического лица __________________________________________</w:t>
      </w:r>
    </w:p>
    <w:p w:rsidR="00377DD3" w:rsidRDefault="00377DD3">
      <w:pPr>
        <w:pStyle w:val="newncpi0"/>
      </w:pPr>
      <w:r>
        <w:t>телефон ___________________, e-</w:t>
      </w:r>
      <w:proofErr w:type="spellStart"/>
      <w:r>
        <w:t>mail</w:t>
      </w:r>
      <w:proofErr w:type="spellEnd"/>
      <w:r>
        <w:t xml:space="preserve"> ____________________________________________</w:t>
      </w:r>
    </w:p>
    <w:p w:rsidR="00377DD3" w:rsidRDefault="00377DD3">
      <w:pPr>
        <w:pStyle w:val="newncpi0"/>
      </w:pPr>
      <w:r>
        <w:t>3. Место и дата государственной регистрации _____________________________________</w:t>
      </w:r>
    </w:p>
    <w:p w:rsidR="00377DD3" w:rsidRDefault="00377DD3">
      <w:pPr>
        <w:pStyle w:val="undline"/>
        <w:ind w:left="5387"/>
      </w:pPr>
      <w:r>
        <w:t>(наименование регистрирующего</w:t>
      </w:r>
    </w:p>
    <w:p w:rsidR="00377DD3" w:rsidRDefault="00377DD3">
      <w:pPr>
        <w:pStyle w:val="newncpi0"/>
      </w:pPr>
      <w:r>
        <w:t>_____________________________________________________________________________</w:t>
      </w:r>
    </w:p>
    <w:p w:rsidR="00377DD3" w:rsidRDefault="00377DD3">
      <w:pPr>
        <w:pStyle w:val="undline"/>
        <w:jc w:val="center"/>
      </w:pPr>
      <w:r>
        <w:t>органа, дата государственной регистрации, номер в Едином</w:t>
      </w:r>
    </w:p>
    <w:p w:rsidR="00377DD3" w:rsidRDefault="00377DD3">
      <w:pPr>
        <w:pStyle w:val="newncpi0"/>
      </w:pPr>
      <w:r>
        <w:t>_____________________________________________________________________________</w:t>
      </w:r>
    </w:p>
    <w:p w:rsidR="00377DD3" w:rsidRDefault="00377DD3">
      <w:pPr>
        <w:pStyle w:val="undline"/>
        <w:jc w:val="center"/>
      </w:pPr>
      <w:r>
        <w:t>государственном регистре юридических лиц и индивидуальных предпринимателей)</w:t>
      </w:r>
    </w:p>
    <w:p w:rsidR="00377DD3" w:rsidRDefault="00377DD3">
      <w:pPr>
        <w:pStyle w:val="newncpi0"/>
      </w:pPr>
      <w:r>
        <w:t>4. Руководитель юридического лица (должность, фамилия, собственное имя, отчество (если таковое имеется) _________________________________________________________</w:t>
      </w:r>
    </w:p>
    <w:p w:rsidR="00377DD3" w:rsidRDefault="00377DD3">
      <w:pPr>
        <w:pStyle w:val="newncpi0"/>
      </w:pPr>
      <w:r>
        <w:t>_____________________________________________________________________________</w:t>
      </w:r>
    </w:p>
    <w:p w:rsidR="00377DD3" w:rsidRDefault="00377DD3">
      <w:pPr>
        <w:pStyle w:val="newncpi0"/>
      </w:pPr>
      <w:r>
        <w:t>5. Основной вид деятельности ___________________________________________________</w:t>
      </w:r>
    </w:p>
    <w:p w:rsidR="00377DD3" w:rsidRDefault="00377DD3">
      <w:pPr>
        <w:pStyle w:val="undline"/>
        <w:ind w:left="3119"/>
        <w:jc w:val="center"/>
      </w:pPr>
      <w:r>
        <w:t>(код общегосударственного классификатора Республики Беларусь ОКРБ 005-2011 «Виды экономической деятельности», утвержденного постановлением Государственного комитета по стандартизации Республики Беларусь от 5 декабря 2011 г. № 85)</w:t>
      </w:r>
    </w:p>
    <w:p w:rsidR="00377DD3" w:rsidRDefault="00377DD3">
      <w:pPr>
        <w:pStyle w:val="newncpi0"/>
      </w:pPr>
      <w:r>
        <w:t>_____________________________________________________________________________</w:t>
      </w:r>
    </w:p>
    <w:p w:rsidR="00377DD3" w:rsidRDefault="00377DD3">
      <w:pPr>
        <w:pStyle w:val="undline"/>
        <w:jc w:val="center"/>
      </w:pPr>
      <w:r>
        <w:t>(наименование вида экономической деятельности)</w:t>
      </w:r>
    </w:p>
    <w:p w:rsidR="00377DD3" w:rsidRDefault="00377DD3">
      <w:pPr>
        <w:pStyle w:val="newncpi0"/>
      </w:pPr>
      <w:r>
        <w:t>_____________________________________________________________________________</w:t>
      </w:r>
    </w:p>
    <w:p w:rsidR="00377DD3" w:rsidRDefault="00377DD3">
      <w:pPr>
        <w:pStyle w:val="newncpi0"/>
      </w:pPr>
      <w:r>
        <w:t>6. Заносилось ли на Республиканскую доску Почета в предыдущие годы: да __________, нет _______, в каком году _____________</w:t>
      </w:r>
    </w:p>
    <w:p w:rsidR="00377DD3" w:rsidRDefault="00377D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678"/>
        <w:gridCol w:w="2905"/>
      </w:tblGrid>
      <w:tr w:rsidR="00377DD3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  <w:ind w:firstLine="0"/>
            </w:pPr>
            <w:r>
              <w:t>Руководитель __________________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377DD3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undline"/>
              <w:ind w:left="2019"/>
            </w:pPr>
            <w:r>
              <w:t>(должность)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77DD3" w:rsidRDefault="00377DD3">
      <w:pPr>
        <w:pStyle w:val="newncpi0"/>
      </w:pPr>
      <w:r>
        <w:t> </w:t>
      </w:r>
    </w:p>
    <w:p w:rsidR="00377DD3" w:rsidRDefault="00377DD3">
      <w:pPr>
        <w:pStyle w:val="newncpi0"/>
      </w:pPr>
      <w:r>
        <w:t>__ ___________ 20__ г.</w:t>
      </w:r>
    </w:p>
    <w:p w:rsidR="00377DD3" w:rsidRDefault="00377DD3">
      <w:pPr>
        <w:pStyle w:val="endform"/>
      </w:pPr>
      <w:r>
        <w:t> </w:t>
      </w:r>
    </w:p>
    <w:p w:rsidR="00377DD3" w:rsidRDefault="00377DD3">
      <w:pPr>
        <w:pStyle w:val="newncpi"/>
      </w:pPr>
      <w:r>
        <w:t> </w:t>
      </w:r>
    </w:p>
    <w:p w:rsidR="00377DD3" w:rsidRDefault="00377DD3">
      <w:pPr>
        <w:rPr>
          <w:rFonts w:eastAsia="Times New Roman"/>
        </w:rPr>
        <w:sectPr w:rsidR="00377DD3" w:rsidSect="00BF43FA">
          <w:pgSz w:w="11920" w:h="16840"/>
          <w:pgMar w:top="567" w:right="567" w:bottom="567" w:left="1417" w:header="280" w:footer="0" w:gutter="0"/>
          <w:cols w:space="720"/>
          <w:docGrid w:linePitch="299"/>
        </w:sectPr>
      </w:pPr>
    </w:p>
    <w:p w:rsidR="00377DD3" w:rsidRDefault="00377DD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859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2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begform"/>
        <w:rPr>
          <w:lang w:val="en-US"/>
        </w:rPr>
      </w:pPr>
      <w:r>
        <w:t>  </w:t>
      </w:r>
    </w:p>
    <w:p w:rsidR="00377DD3" w:rsidRPr="00377DD3" w:rsidRDefault="00377DD3">
      <w:pPr>
        <w:pStyle w:val="begform"/>
        <w:rPr>
          <w:lang w:val="en-US"/>
        </w:rPr>
      </w:pPr>
    </w:p>
    <w:p w:rsidR="00377DD3" w:rsidRDefault="00377DD3">
      <w:pPr>
        <w:pStyle w:val="onestring"/>
      </w:pPr>
      <w:r>
        <w:t>Форма</w:t>
      </w:r>
    </w:p>
    <w:p w:rsidR="00377DD3" w:rsidRDefault="00377DD3">
      <w:pPr>
        <w:pStyle w:val="titlep"/>
      </w:pPr>
      <w:r>
        <w:t>Справка о выполнении показателей оценки работы за отчетный год для организаций, основным видом деятельности которых является розничная торговля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1321"/>
        <w:gridCol w:w="1657"/>
        <w:gridCol w:w="924"/>
        <w:gridCol w:w="739"/>
      </w:tblGrid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Отчетный 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Темп роста, %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1. Розничный товарооборот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2. Темп роста розничного товарооборота в сопоставимых ценах*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3. Розничный товарооборот на 1 кв. метр торговой площади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4. Выручка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5. Выручка от реализации продукции, товаров, работ, услуг на одного среднесписочного работника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6. Соотношение темпов роста выручки от реализации продукции, товаров, работ, услуг на одного среднесписочного работника и номинальной начисленной среднемесячной заработной платы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7. Прибыль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8. Рентабельность продаж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9. Чистая прибыль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10. Рентабельность оборота*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11. Дебиторская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дебиторская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12. Удельный вес просроченной дебиторской задолженности в общей сумме дебиторской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13. Кредиторская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кредиторская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из нее просроченная кредиторская задолженность: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поставщикам за товары, работы, услуги, по авансам полученным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из нее за топливно-энергетические ресурсы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оплате труда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налогам и сборам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14. Удельный вес просроченной кредиторской задолженности в общей сумме кредиторской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15. Удельный вес продажи товаров отечественного производства в розничном товарообороте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16. Уровень затрат на производство и реализацию продукции (работ, услуг) в объеме производства продукции (работ, услуг)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</w:pPr>
            <w:r>
              <w:lastRenderedPageBreak/>
              <w:t>17. Наличие выявленных контролирующими (надзорными) органами нарушений законодательства, создающих угрозу национальной безопасности, причинения вреда жизни и здоровью населения, окружающей среде, повлекших:</w:t>
            </w:r>
          </w:p>
          <w:p w:rsidR="00377DD3" w:rsidRDefault="00377DD3">
            <w:pPr>
              <w:pStyle w:val="table10"/>
              <w:ind w:left="283"/>
            </w:pPr>
            <w:r>
              <w:t>вынесение предложения о приостановлении деятельности до устранения нарушений, послуживших основанием вручения (направления) предложения;</w:t>
            </w:r>
          </w:p>
          <w:p w:rsidR="00377DD3" w:rsidRDefault="00377DD3">
            <w:pPr>
              <w:pStyle w:val="table10"/>
              <w:ind w:left="283"/>
            </w:pPr>
            <w:r>
              <w:t>вынесение требования (предписания) о приостановлении (запрете) производства и (или) реализации товаров (работ, услуг), послуживших основанием вынесения такого требования (предписания);</w:t>
            </w:r>
          </w:p>
          <w:p w:rsidR="00377DD3" w:rsidRDefault="00377DD3">
            <w:pPr>
              <w:pStyle w:val="table10"/>
              <w:ind w:left="283"/>
            </w:pPr>
            <w:r>
              <w:t>привлечение к административной ответственности два и более раза в течение отчетного года*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snoskiline"/>
      </w:pPr>
      <w:r>
        <w:t>______________________________</w:t>
      </w:r>
    </w:p>
    <w:p w:rsidR="00377DD3" w:rsidRDefault="00377DD3">
      <w:pPr>
        <w:pStyle w:val="snoski"/>
        <w:spacing w:after="240"/>
      </w:pPr>
      <w:r>
        <w:t>* Показатель органами государственной статистики не согласовывается.</w:t>
      </w:r>
    </w:p>
    <w:p w:rsidR="00377DD3" w:rsidRDefault="00377DD3">
      <w:pPr>
        <w:pStyle w:val="endform"/>
      </w:pPr>
      <w:r>
        <w:t> </w:t>
      </w:r>
    </w:p>
    <w:p w:rsidR="00377DD3" w:rsidRDefault="00377DD3">
      <w:pPr>
        <w:pStyle w:val="newncpi"/>
      </w:pPr>
      <w:r>
        <w:t> </w:t>
      </w:r>
    </w:p>
    <w:p w:rsidR="00377DD3" w:rsidRDefault="00377D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859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3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begform"/>
      </w:pPr>
      <w:r>
        <w:t>  </w:t>
      </w:r>
    </w:p>
    <w:p w:rsidR="00377DD3" w:rsidRDefault="00377DD3">
      <w:pPr>
        <w:pStyle w:val="onestring"/>
      </w:pPr>
      <w:r>
        <w:t>Форма</w:t>
      </w:r>
    </w:p>
    <w:p w:rsidR="00377DD3" w:rsidRDefault="00377DD3">
      <w:pPr>
        <w:pStyle w:val="titlep"/>
      </w:pPr>
      <w:r>
        <w:t>Справка о выполнении показателей оценки работы за отчетный год для организаций, основным видом деятельности которых является оптовая торговля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1321"/>
        <w:gridCol w:w="1657"/>
        <w:gridCol w:w="924"/>
        <w:gridCol w:w="739"/>
      </w:tblGrid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Отчетный 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Темп роста, %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1. Оптовый товарооборот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2. Темп роста оптового товарооборота в сопоставимых ценах*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3. Удельный вес экспорта товаров в оптовом товарообороте*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4. Выручка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5. Выручка от реализации продукции, товаров, работ, услуг на одного среднесписочного работника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6. Соотношение темпов роста выручки от реализации продукции, товаров, работ, услуг на одного среднесписочного работника и номинальной начисленной среднемесячной заработной платы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7. Прибыль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8. Рентабельность продаж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9. Чистая прибыль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10. Рентабельность оборота*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11. Дебиторская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дебиторская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12. Удельный вес просроченной дебиторской задолженности в общей сумме дебиторской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13. Кредиторская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кредиторская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из нее просроченная кредиторская задолженность: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поставщикам за товары, работы, услуги, по авансам полученным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из нее за топливно-энергетические ресурсы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оплате труда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налогам и сборам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14. Удельный вес просроченной кредиторской задолженности в общей сумме кредиторской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15. Удельный вес продажи товаров отечественного производства в оптовом товарообороте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16. Уровень затрат на производство и реализацию продукции (работ, услуг) в объеме производства продукции (работ, услуг)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</w:pPr>
            <w:r>
              <w:lastRenderedPageBreak/>
              <w:t>17. Наличие выявленных контролирующими (надзорными) органами нарушений законодательства, создающих угрозу национальной безопасности, причинения вреда жизни и здоровью населения, окружающей среде, повлекших: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вынесение предложения о приостановлении деятельности до устранения нарушений, послуживших основанием вручения (направления) предложения;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вынесение требования (предписания) о приостановлении (запрете) производства и (или) реализации товаров (работ, услуг), послуживших основанием вынесения такого требования (предписания);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привлечение к административной ответственности два и более раза в течение отчетного года*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ед.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snoskiline"/>
      </w:pPr>
      <w:r>
        <w:t>______________________________</w:t>
      </w:r>
    </w:p>
    <w:p w:rsidR="00377DD3" w:rsidRDefault="00377DD3">
      <w:pPr>
        <w:pStyle w:val="snoski"/>
        <w:spacing w:after="240"/>
      </w:pPr>
      <w:r>
        <w:t>* Показатель органами государственной статистики не согласовывается.</w:t>
      </w:r>
    </w:p>
    <w:p w:rsidR="00377DD3" w:rsidRDefault="00377DD3">
      <w:pPr>
        <w:pStyle w:val="endform"/>
      </w:pPr>
      <w:r>
        <w:t> </w:t>
      </w:r>
    </w:p>
    <w:p w:rsidR="00377DD3" w:rsidRDefault="00377DD3">
      <w:pPr>
        <w:pStyle w:val="newncpi"/>
      </w:pPr>
      <w:r>
        <w:t> </w:t>
      </w:r>
    </w:p>
    <w:p w:rsidR="00377DD3" w:rsidRDefault="00377D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859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4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begform"/>
      </w:pPr>
      <w:r>
        <w:t>  </w:t>
      </w:r>
    </w:p>
    <w:p w:rsidR="00377DD3" w:rsidRDefault="00377DD3">
      <w:pPr>
        <w:pStyle w:val="onestring"/>
      </w:pPr>
      <w:r>
        <w:t>Форма</w:t>
      </w:r>
    </w:p>
    <w:p w:rsidR="00377DD3" w:rsidRDefault="00377DD3">
      <w:pPr>
        <w:pStyle w:val="titlep"/>
      </w:pPr>
      <w:r>
        <w:t>Справка о выполнении показателей оценки работы за отчетный год для организаций, предоставляющих услуги общественного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1321"/>
        <w:gridCol w:w="1657"/>
        <w:gridCol w:w="924"/>
        <w:gridCol w:w="739"/>
      </w:tblGrid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Отчетный 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Темп роста, %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1. Товарооборот общественного питания,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>из него продукция общественного питания*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2. Темп роста товарооборота общественного питания в сопоставимых ценах*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3. Товарооборот общественного питания на 1 работника*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4. Выручка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5. Выручка от реализации продукции, товаров, работ, услуг на одного среднесписочного работника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6. Соотношение темпов роста выручки от реализации продукции, товаров, работ, услуг на одного среднесписочного работника и номинальной начисленной среднемесячной заработной платы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7. Прибыль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8. Рентабельность продаж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9. Чистая прибыль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10. Рентабельность оборота*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11. Дебиторская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дебиторская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12. Удельный вес просроченной дебиторской задолженности в общей сумме дебиторской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13. Кредиторская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кредиторская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из нее просроченная кредиторская задолженность: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поставщикам за товары, работы, услуги, по авансам полученным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из нее за топливно-энергетические ресурсы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оплате труда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налогам и сборам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14. Удельный вес просроченной кредиторской задолженности в общей сумме кредиторской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15. Уровень затрат на производство и реализацию продукции (работ, услуг) в объеме производства продукции (работ, услуг)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</w:pPr>
            <w:r>
              <w:lastRenderedPageBreak/>
              <w:t>16. Наличие выявленных контролирующими (надзорными) органами нарушений законодательства, создающих угрозу национальной безопасности, причинения вреда жизни и здоровью населения, окружающей среде, повлекших: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вынесение предложения о приостановлении деятельности до устранения нарушений, послуживших основанием вручения (направления) предложения;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вынесение требования (предписания) о приостановлении (запрете) производства и (или) реализации товаров (работ, услуг), послуживших основанием вынесения такого требования (предписания);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привлечение к административной ответственности два и более раза в течение отчетного года*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ед.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snoskiline"/>
      </w:pPr>
      <w:r>
        <w:t>______________________________</w:t>
      </w:r>
    </w:p>
    <w:p w:rsidR="00377DD3" w:rsidRDefault="00377DD3">
      <w:pPr>
        <w:pStyle w:val="snoski"/>
        <w:spacing w:after="240"/>
      </w:pPr>
      <w:r>
        <w:t>* Показатель органами государственной статистики не согласовывается.</w:t>
      </w:r>
    </w:p>
    <w:p w:rsidR="00377DD3" w:rsidRDefault="00377DD3">
      <w:pPr>
        <w:pStyle w:val="endform"/>
      </w:pPr>
      <w:r>
        <w:t> </w:t>
      </w:r>
    </w:p>
    <w:p w:rsidR="00377DD3" w:rsidRDefault="00377DD3">
      <w:pPr>
        <w:pStyle w:val="newncpi"/>
      </w:pPr>
      <w:r>
        <w:t> </w:t>
      </w:r>
    </w:p>
    <w:p w:rsidR="00377DD3" w:rsidRDefault="00377DD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859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5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begform"/>
      </w:pPr>
      <w:r>
        <w:t>  </w:t>
      </w:r>
    </w:p>
    <w:p w:rsidR="00377DD3" w:rsidRDefault="00377DD3">
      <w:pPr>
        <w:pStyle w:val="edizmeren"/>
      </w:pPr>
      <w:r>
        <w:t>Форма</w:t>
      </w:r>
    </w:p>
    <w:p w:rsidR="00377DD3" w:rsidRDefault="00377DD3">
      <w:pPr>
        <w:pStyle w:val="titlep"/>
      </w:pPr>
      <w:r>
        <w:t>Справка о выполнении показателей оценки работы за отчетный год для организаций, предоставляющих прочие индивидуальные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1321"/>
        <w:gridCol w:w="1657"/>
        <w:gridCol w:w="924"/>
        <w:gridCol w:w="739"/>
      </w:tblGrid>
      <w:tr w:rsidR="00377DD3">
        <w:trPr>
          <w:trHeight w:val="238"/>
        </w:trPr>
        <w:tc>
          <w:tcPr>
            <w:tcW w:w="266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6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Отчетный год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Темп роста, %</w:t>
            </w:r>
          </w:p>
        </w:tc>
      </w:tr>
      <w:tr w:rsidR="00377DD3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1. Объем бытовых услуг населению**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2. Темп роста объема бытовых услуг населению в сопоставимых ценах*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3. Выручка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4. Выручка от реализации продукции, товаров, работ, услуг на одного среднесписочного работника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5. Соотношение темпов роста выручки от реализации продукции, товаров, работ, услуг на одного среднесписочного работника и номинальной начисленной среднемесячной заработной платы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6. Прибыль от реализации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7. Рентабельность реализованной продукции, товаров, работ, услуг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8. Чистая прибыль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9. Рентабельность оборота*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10. Дебиторская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дебиторская задолженность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11. Удельный вес просроченной дебиторской задолженности в общей сумме дебиторской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12. Кредиторская задолженность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>из нее просроченная кредиторская задолженность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из нее просроченная кредиторская задолженность: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поставщикам за товары, работы, услуги, по авансам полученным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850"/>
            </w:pPr>
            <w:r>
              <w:t>из нее за топливно-энергетические ресурсы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оплате труда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567"/>
            </w:pPr>
            <w:r>
              <w:t>по налогам и сборам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тыс. рублей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13. Удельный вес просроченной кредиторской задолженности в общей сумме кредиторской задолженности на конец отчетного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 xml:space="preserve">14. Уровень затрат на производство и реализацию продукции (работ, услуг) в объеме производства продукции (работ, услуг)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х</w:t>
            </w:r>
          </w:p>
        </w:tc>
      </w:tr>
      <w:tr w:rsidR="00377DD3">
        <w:trPr>
          <w:trHeight w:val="238"/>
        </w:trPr>
        <w:tc>
          <w:tcPr>
            <w:tcW w:w="2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</w:pPr>
            <w:r>
              <w:lastRenderedPageBreak/>
              <w:t>15. Наличие выявленных контролирующими (надзорными) органами нарушений законодательства, создающих угрозу национальной безопасности, причинения вреда жизни и здоровью населения, окружающей среде, повлекших:</w:t>
            </w:r>
          </w:p>
          <w:p w:rsidR="00377DD3" w:rsidRDefault="00377DD3" w:rsidP="00377DD3">
            <w:pPr>
              <w:pStyle w:val="table10"/>
              <w:pageBreakBefore/>
              <w:ind w:left="284"/>
            </w:pPr>
            <w:r>
              <w:t>вынесение предложения о приостановлении деятельности до устранения нарушений, послуживших основанием вручения (направления) предложения;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вынесение требования (предписания) о приостановлении (запрете) производства и (или) реализации товаров (работ, услуг), послуживших основанием вынесения такого требования (предписания);</w:t>
            </w:r>
          </w:p>
          <w:p w:rsidR="00377DD3" w:rsidRDefault="00377DD3" w:rsidP="00377DD3">
            <w:pPr>
              <w:pStyle w:val="table10"/>
              <w:pageBreakBefore/>
              <w:ind w:left="283"/>
            </w:pPr>
            <w:r>
              <w:t>привлечение к административной ответственности два и более раза в течение отчетного года*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ед.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 w:rsidP="00377DD3">
            <w:pPr>
              <w:pStyle w:val="table10"/>
              <w:pageBreakBefore/>
              <w:jc w:val="center"/>
            </w:pPr>
            <w:r>
              <w:t> 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snoskiline"/>
      </w:pPr>
      <w:r>
        <w:t>______________________________</w:t>
      </w:r>
    </w:p>
    <w:p w:rsidR="00377DD3" w:rsidRDefault="00377DD3">
      <w:pPr>
        <w:pStyle w:val="snoski"/>
      </w:pPr>
      <w:r>
        <w:t>* Показатель органами государственной статистики не согласовывается.</w:t>
      </w:r>
    </w:p>
    <w:p w:rsidR="00377DD3" w:rsidRDefault="00377DD3">
      <w:pPr>
        <w:pStyle w:val="snoski"/>
        <w:spacing w:after="240"/>
      </w:pPr>
      <w:r>
        <w:t xml:space="preserve">** В соответствии с собирательной классификационной группировкой платных услуг населению 00.101 «Услуги бытовые» статистического классификатора СК 27.005-2015 «Платные услуги населению», утвержденного постановлением Национального статистического комитета Республики Беларусь от 28 августа 2015 г. № 101. </w:t>
      </w:r>
    </w:p>
    <w:p w:rsidR="00377DD3" w:rsidRDefault="00377DD3">
      <w:pPr>
        <w:pStyle w:val="endform"/>
      </w:pPr>
      <w:r>
        <w:t> </w:t>
      </w:r>
    </w:p>
    <w:p w:rsidR="00377DD3" w:rsidRDefault="00377DD3">
      <w:pPr>
        <w:pStyle w:val="newncpi"/>
      </w:pPr>
      <w:r>
        <w:t> </w:t>
      </w:r>
    </w:p>
    <w:p w:rsidR="00377DD3" w:rsidRDefault="00377DD3">
      <w:pPr>
        <w:rPr>
          <w:rFonts w:eastAsia="Times New Roman"/>
        </w:rPr>
        <w:sectPr w:rsidR="00377DD3" w:rsidSect="00BF43FA">
          <w:pgSz w:w="11906" w:h="16840"/>
          <w:pgMar w:top="567" w:right="567" w:bottom="567" w:left="1418" w:header="278" w:footer="0" w:gutter="0"/>
          <w:cols w:space="720"/>
          <w:docGrid w:linePitch="299"/>
        </w:sectPr>
      </w:pPr>
    </w:p>
    <w:p w:rsidR="00377DD3" w:rsidRDefault="00377DD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2863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6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begform"/>
      </w:pPr>
      <w:r>
        <w:t>  </w:t>
      </w:r>
    </w:p>
    <w:p w:rsidR="00377DD3" w:rsidRDefault="00377DD3">
      <w:pPr>
        <w:pStyle w:val="onestring"/>
      </w:pPr>
      <w:r>
        <w:t>Форма</w:t>
      </w:r>
    </w:p>
    <w:p w:rsidR="00377DD3" w:rsidRDefault="00377DD3">
      <w:pPr>
        <w:pStyle w:val="titlep"/>
        <w:spacing w:after="0"/>
      </w:pPr>
      <w:r>
        <w:t>Справка о выполнении обязательных условий для занесения на Республиканскую доску Почета, критериев и показателей оценки работы</w:t>
      </w:r>
      <w:r>
        <w:br/>
        <w:t>за _____________</w:t>
      </w:r>
    </w:p>
    <w:p w:rsidR="00377DD3" w:rsidRDefault="00377DD3">
      <w:pPr>
        <w:pStyle w:val="undline"/>
        <w:ind w:left="4172"/>
      </w:pPr>
      <w:r>
        <w:t>(отчетный год)</w:t>
      </w:r>
    </w:p>
    <w:p w:rsidR="00377DD3" w:rsidRDefault="00377DD3">
      <w:pPr>
        <w:pStyle w:val="newncpi0"/>
        <w:jc w:val="center"/>
      </w:pPr>
      <w:r>
        <w:t>______________________________________________________________</w:t>
      </w:r>
    </w:p>
    <w:p w:rsidR="00377DD3" w:rsidRDefault="00377DD3">
      <w:pPr>
        <w:pStyle w:val="undline"/>
        <w:jc w:val="center"/>
      </w:pPr>
      <w:r>
        <w:t>(наименование организации)</w:t>
      </w:r>
    </w:p>
    <w:p w:rsidR="00377DD3" w:rsidRDefault="00377DD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1968"/>
      </w:tblGrid>
      <w:tr w:rsidR="00377DD3">
        <w:trPr>
          <w:trHeight w:val="238"/>
        </w:trPr>
        <w:tc>
          <w:tcPr>
            <w:tcW w:w="40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Наименование обязательных условий и показателей оценки работы претендентов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Значение</w:t>
            </w:r>
          </w:p>
        </w:tc>
      </w:tr>
      <w:tr w:rsidR="00377DD3">
        <w:trPr>
          <w:trHeight w:val="238"/>
        </w:trPr>
        <w:tc>
          <w:tcPr>
            <w:tcW w:w="4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1. Выполнение обязательных условий (пункт 5 настоящей Инструкции)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4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…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нет/есть</w:t>
            </w:r>
          </w:p>
        </w:tc>
      </w:tr>
      <w:tr w:rsidR="00377DD3">
        <w:trPr>
          <w:trHeight w:val="238"/>
        </w:trPr>
        <w:tc>
          <w:tcPr>
            <w:tcW w:w="4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2. Выполнение показателей оценки работы (согласно приложениям 2–5 в соответствии с номинацией)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 </w:t>
            </w:r>
          </w:p>
        </w:tc>
      </w:tr>
      <w:tr w:rsidR="00377DD3">
        <w:trPr>
          <w:trHeight w:val="238"/>
        </w:trPr>
        <w:tc>
          <w:tcPr>
            <w:tcW w:w="40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…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 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newncpi"/>
      </w:pPr>
      <w:r>
        <w:t>Кандидатура представлена облисполкомом, Минским горисполкомом (решение от _________ № _____</w:t>
      </w:r>
      <w:proofErr w:type="gramStart"/>
      <w:r>
        <w:t>_)*</w:t>
      </w:r>
      <w:proofErr w:type="gramEnd"/>
      <w:r>
        <w:t>.</w:t>
      </w:r>
    </w:p>
    <w:p w:rsidR="00377DD3" w:rsidRDefault="00377DD3">
      <w:pPr>
        <w:pStyle w:val="newncpi"/>
      </w:pPr>
      <w:r>
        <w:t>Претендент определен Министерством антимонопольного регулирования и торговли (решение комиссии Министерства антимонопольного регулирования и торговли от _______ № ___</w:t>
      </w:r>
      <w:proofErr w:type="gramStart"/>
      <w:r>
        <w:t>_)*</w:t>
      </w:r>
      <w:proofErr w:type="gramEnd"/>
      <w:r>
        <w:t>*.</w:t>
      </w:r>
    </w:p>
    <w:p w:rsidR="00377DD3" w:rsidRDefault="00377D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678"/>
        <w:gridCol w:w="2905"/>
      </w:tblGrid>
      <w:tr w:rsidR="00377DD3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  <w:ind w:firstLine="0"/>
            </w:pPr>
            <w:r>
              <w:t>Руководитель __________________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377DD3"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undline"/>
              <w:ind w:left="2019"/>
            </w:pPr>
            <w:r>
              <w:t>(должность)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newncpi0"/>
      </w:pPr>
      <w:r>
        <w:t>__ ___________ 20__ г.</w:t>
      </w:r>
    </w:p>
    <w:p w:rsidR="00377DD3" w:rsidRDefault="00377DD3">
      <w:pPr>
        <w:pStyle w:val="newncpi"/>
      </w:pPr>
      <w:r>
        <w:t> </w:t>
      </w:r>
    </w:p>
    <w:p w:rsidR="00377DD3" w:rsidRDefault="00377DD3">
      <w:pPr>
        <w:pStyle w:val="snoskiline"/>
      </w:pPr>
      <w:r>
        <w:t>______________________________</w:t>
      </w:r>
    </w:p>
    <w:p w:rsidR="00377DD3" w:rsidRDefault="00377DD3">
      <w:pPr>
        <w:pStyle w:val="snoski"/>
      </w:pPr>
      <w:r>
        <w:t>* Для заполнения облисполкомами, Минским горисполкомом, Министерством антимонопольного регулирования и торговли.</w:t>
      </w:r>
    </w:p>
    <w:p w:rsidR="00377DD3" w:rsidRDefault="00377DD3">
      <w:pPr>
        <w:pStyle w:val="snoski"/>
        <w:spacing w:after="240"/>
      </w:pPr>
      <w:r>
        <w:t>** Для заполнения Министерством антимонопольного регулирования и торговли.</w:t>
      </w:r>
    </w:p>
    <w:p w:rsidR="00377DD3" w:rsidRDefault="00377DD3">
      <w:pPr>
        <w:pStyle w:val="endform"/>
      </w:pPr>
      <w:r>
        <w:t> </w:t>
      </w:r>
    </w:p>
    <w:p w:rsidR="00377DD3" w:rsidRDefault="00377DD3">
      <w:pPr>
        <w:pStyle w:val="newncpi"/>
      </w:pPr>
      <w:r>
        <w:t> </w:t>
      </w:r>
    </w:p>
    <w:p w:rsidR="00377DD3" w:rsidRDefault="00377DD3">
      <w:pPr>
        <w:rPr>
          <w:rFonts w:eastAsia="Times New Roman"/>
        </w:rPr>
        <w:sectPr w:rsidR="00377DD3" w:rsidSect="00BF43FA">
          <w:pgSz w:w="11920" w:h="16840"/>
          <w:pgMar w:top="567" w:right="567" w:bottom="567" w:left="1417" w:header="280" w:footer="0" w:gutter="0"/>
          <w:cols w:space="720"/>
          <w:docGrid w:linePitch="299"/>
        </w:sectPr>
      </w:pPr>
    </w:p>
    <w:p w:rsidR="00377DD3" w:rsidRDefault="00377DD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859"/>
      </w:tblGrid>
      <w:tr w:rsidR="00377DD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append1"/>
            </w:pPr>
            <w:r>
              <w:t>Приложение 7</w:t>
            </w:r>
          </w:p>
          <w:p w:rsidR="00377DD3" w:rsidRDefault="00377DD3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определения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</w:t>
            </w:r>
            <w:r>
              <w:br/>
              <w:t xml:space="preserve">доску Почета </w:t>
            </w:r>
          </w:p>
        </w:tc>
      </w:tr>
    </w:tbl>
    <w:p w:rsidR="00377DD3" w:rsidRDefault="00377DD3">
      <w:pPr>
        <w:pStyle w:val="titlep"/>
        <w:jc w:val="left"/>
      </w:pPr>
      <w:r>
        <w:t>ПЕРЕЧЕНЬ</w:t>
      </w:r>
      <w:r>
        <w:br/>
        <w:t>показателей оценки работы претендентов на занесение на Республиканскую доску почета среди организаций торговли, организаций общественного питания и организаций, предоставляющих прочие индивидуальные услуги, по итогам работы за отчетный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9268"/>
      </w:tblGrid>
      <w:tr w:rsidR="00377DD3">
        <w:trPr>
          <w:trHeight w:val="238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7DD3" w:rsidRDefault="00377DD3">
            <w:pPr>
              <w:pStyle w:val="table10"/>
              <w:jc w:val="center"/>
            </w:pPr>
            <w:r>
              <w:t>Наименование показателя, критерия оценки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Розничный товарооборот, тыс. рублей (для организаций розничной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Оптовый товарооборот, тыс. рублей (для организаций оптовой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Товарооборот общественного питания, тыс. рублей (для организаций, предоставляющих услуги общественного питания)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>из него продукция общественного питания*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Объем бытовых услуг населению, тыс. рублей** (для организаций, предоставляющих прочие индивидуальные услуги)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Темп роста розничного товарооборота в сопоставимых ценах, %* (для организаций розничной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Темп роста оптового товарооборота в сопоставимых ценах, %* (для организаций оптовой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Темп роста товарооборота общественного питания в сопоставимых ценах, %* (для организаций, предоставляющих услуги общественного питания)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Темп роста объема бытовых услуг населению в сопоставимых ценах, %* (для организаций, предоставляющих прочие индивидуальные услуги)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Розничный товарооборот на 1 кв. метр торговой площади, тыс. рублей (для организаций розничной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Удельный вес экспорта товаров в оптовом товарообороте*, % (для организаций оптовой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Товарооборот общественного питания на 1 работника*, тыс. рублей (для организаций, предоставляющих услуги общественного питания)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Удельный вес продажи товаров отечественного производства в розничном товарообороте, % (для организаций розничной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Удельный вес продажи товаров отечественного производства в оптовом товарообороте, % (для организаций оптовой торговли)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Удельный вес продукции общественного питания в товарообороте общественного питания, %* (для организаций, предоставляющих услуги общественного питания)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Выручка от реализации продукции, товаров, работ, услуг, тыс. рублей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Выручка от реализации продукции, товаров, работ, услуг на одного среднесписочного работника, тыс. рублей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Соотношение темпа роста выручки от реализации продукции, товаров, работ, услуг на одного среднесписочного работника и темпа роста номинальной начисленной среднемесячной заработной платы, %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Прибыль от реализации продукции, товаров, работ, услуг, тыс. рублей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Чистая прибыль, тыс. рублей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Рентабельность продаж, % (для организаций розничной торговли, оптовой торговли, а также предоставляющих услуги общественного питания)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Рентабельность реализованной продукции, товаров, работ, услуг, % (для организаций, предоставляющих прочие индивидуальные услуги)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Рентабельность оборота, %*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Дебиторская задолженность на конец отчетного периода, тыс. рублей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ind w:left="283"/>
            </w:pPr>
            <w:r>
              <w:t xml:space="preserve">из нее просроченная дебиторская задолженность, тыс. рублей 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Удельный вес просроченной дебиторской задолженности в общей сумме дебиторской задолженности на конец отчетного периода</w:t>
            </w:r>
          </w:p>
        </w:tc>
      </w:tr>
      <w:tr w:rsidR="00377DD3">
        <w:trPr>
          <w:trHeight w:val="238"/>
        </w:trPr>
        <w:tc>
          <w:tcPr>
            <w:tcW w:w="33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Кредиторская задолженность на конец отчетного периода, тыс. рублей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из нее просроченная кредиторская задолженность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из нее просроченная кредиторская задолженность: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поставщикам за товары, работы, услуги, по авансам полученным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из нее за топливно-энергетические ресурсы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по оплате труда</w:t>
            </w:r>
          </w:p>
        </w:tc>
      </w:tr>
      <w:tr w:rsidR="00377DD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77DD3" w:rsidRDefault="00377D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по налогам и сборам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lastRenderedPageBreak/>
              <w:t>27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Удельный вес просроченной кредиторской задолженности в общей сумме кредиторской задолженности на конец отчетного периода, %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Уровень затрат на производство и реализацию продукции (работ, услуг) в объеме производства продукции (работ, услуг), %</w:t>
            </w:r>
          </w:p>
        </w:tc>
      </w:tr>
      <w:tr w:rsidR="00377DD3">
        <w:trPr>
          <w:trHeight w:val="238"/>
        </w:trPr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  <w:jc w:val="center"/>
            </w:pPr>
            <w:r>
              <w:t>29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DD3" w:rsidRDefault="00377DD3">
            <w:pPr>
              <w:pStyle w:val="table10"/>
            </w:pPr>
            <w:r>
              <w:t>Наличие выявленных контролирующими (надзорными) органами нарушений законодательства, создающих угрозу национальной безопасности, причинения вреда жизни и здоровью населения, окружающей среде, повлекших:</w:t>
            </w:r>
          </w:p>
          <w:p w:rsidR="00377DD3" w:rsidRDefault="00377DD3">
            <w:pPr>
              <w:pStyle w:val="table10"/>
              <w:ind w:left="283"/>
            </w:pPr>
            <w:r>
              <w:t>вынесение предложения о приостановлении деятельности до устранения нарушений, послуживших основанием вручения (направления) предложения;</w:t>
            </w:r>
          </w:p>
          <w:p w:rsidR="00377DD3" w:rsidRDefault="00377DD3">
            <w:pPr>
              <w:pStyle w:val="table10"/>
              <w:ind w:left="283"/>
            </w:pPr>
            <w:r>
              <w:t>вынесение требования (предписания) о приостановлении (запрете) производства и (или) реализации товаров (работ, услуг), послуживших основанием вынесения такого требования (предписания);</w:t>
            </w:r>
          </w:p>
          <w:p w:rsidR="00377DD3" w:rsidRDefault="00377DD3">
            <w:pPr>
              <w:pStyle w:val="table10"/>
              <w:ind w:left="283"/>
            </w:pPr>
            <w:r>
              <w:t>привлечение к административной ответственности два и более раза в течение отчетного года*</w:t>
            </w:r>
          </w:p>
        </w:tc>
      </w:tr>
    </w:tbl>
    <w:p w:rsidR="00377DD3" w:rsidRDefault="00377DD3">
      <w:pPr>
        <w:pStyle w:val="newncpi"/>
      </w:pPr>
      <w:r>
        <w:t> </w:t>
      </w:r>
    </w:p>
    <w:p w:rsidR="00377DD3" w:rsidRDefault="00377DD3">
      <w:pPr>
        <w:pStyle w:val="snoskiline"/>
      </w:pPr>
      <w:r>
        <w:t>______________________________</w:t>
      </w:r>
    </w:p>
    <w:p w:rsidR="00377DD3" w:rsidRDefault="00377DD3">
      <w:pPr>
        <w:pStyle w:val="snoski"/>
      </w:pPr>
      <w:r>
        <w:t>* Показатель органами государственной статистики не согласовывается.</w:t>
      </w:r>
    </w:p>
    <w:p w:rsidR="00377DD3" w:rsidRDefault="00377DD3">
      <w:pPr>
        <w:pStyle w:val="snoski"/>
        <w:spacing w:after="240"/>
      </w:pPr>
      <w:r>
        <w:t>** В соответствии с собирательной классификационной группировкой платных услуг населению 00.101 «Услуги бытовые» статистического классификатора СК 27.005-2015 «Платные услуги населению», утвержденного постановлением Национального статистического комитета Республики Беларусь от 28 августа 2015 г. № 101.</w:t>
      </w:r>
    </w:p>
    <w:p w:rsidR="00377DD3" w:rsidRDefault="00377DD3">
      <w:pPr>
        <w:pStyle w:val="newncpi"/>
      </w:pPr>
      <w:r>
        <w:t> </w:t>
      </w:r>
    </w:p>
    <w:p w:rsidR="00B3379B" w:rsidRDefault="0063007C"/>
    <w:sectPr w:rsidR="00B3379B" w:rsidSect="00BF43FA">
      <w:pgSz w:w="11906" w:h="16840"/>
      <w:pgMar w:top="567" w:right="567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7C" w:rsidRDefault="0063007C" w:rsidP="00377DD3">
      <w:pPr>
        <w:spacing w:after="0" w:line="240" w:lineRule="auto"/>
      </w:pPr>
      <w:r>
        <w:separator/>
      </w:r>
    </w:p>
  </w:endnote>
  <w:endnote w:type="continuationSeparator" w:id="0">
    <w:p w:rsidR="0063007C" w:rsidRDefault="0063007C" w:rsidP="0037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7C" w:rsidRDefault="0063007C" w:rsidP="00377DD3">
      <w:pPr>
        <w:spacing w:after="0" w:line="240" w:lineRule="auto"/>
      </w:pPr>
      <w:r>
        <w:separator/>
      </w:r>
    </w:p>
  </w:footnote>
  <w:footnote w:type="continuationSeparator" w:id="0">
    <w:p w:rsidR="0063007C" w:rsidRDefault="0063007C" w:rsidP="0037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D3" w:rsidRDefault="00B215ED" w:rsidP="008C12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7D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DD3" w:rsidRDefault="00377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D3" w:rsidRPr="00377DD3" w:rsidRDefault="00B215ED" w:rsidP="008C124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377DD3">
      <w:rPr>
        <w:rStyle w:val="a9"/>
        <w:rFonts w:ascii="Times New Roman" w:hAnsi="Times New Roman" w:cs="Times New Roman"/>
        <w:sz w:val="24"/>
      </w:rPr>
      <w:fldChar w:fldCharType="begin"/>
    </w:r>
    <w:r w:rsidR="00377DD3" w:rsidRPr="00377DD3">
      <w:rPr>
        <w:rStyle w:val="a9"/>
        <w:rFonts w:ascii="Times New Roman" w:hAnsi="Times New Roman" w:cs="Times New Roman"/>
        <w:sz w:val="24"/>
      </w:rPr>
      <w:instrText xml:space="preserve">PAGE  </w:instrText>
    </w:r>
    <w:r w:rsidRPr="00377DD3">
      <w:rPr>
        <w:rStyle w:val="a9"/>
        <w:rFonts w:ascii="Times New Roman" w:hAnsi="Times New Roman" w:cs="Times New Roman"/>
        <w:sz w:val="24"/>
      </w:rPr>
      <w:fldChar w:fldCharType="separate"/>
    </w:r>
    <w:r w:rsidR="00F71E8F">
      <w:rPr>
        <w:rStyle w:val="a9"/>
        <w:rFonts w:ascii="Times New Roman" w:hAnsi="Times New Roman" w:cs="Times New Roman"/>
        <w:noProof/>
        <w:sz w:val="24"/>
      </w:rPr>
      <w:t>15</w:t>
    </w:r>
    <w:r w:rsidRPr="00377DD3">
      <w:rPr>
        <w:rStyle w:val="a9"/>
        <w:rFonts w:ascii="Times New Roman" w:hAnsi="Times New Roman" w:cs="Times New Roman"/>
        <w:sz w:val="24"/>
      </w:rPr>
      <w:fldChar w:fldCharType="end"/>
    </w:r>
  </w:p>
  <w:p w:rsidR="00377DD3" w:rsidRPr="00377DD3" w:rsidRDefault="00377DD3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3"/>
    <w:rsid w:val="002C59C6"/>
    <w:rsid w:val="00376BA2"/>
    <w:rsid w:val="00377DD3"/>
    <w:rsid w:val="00411210"/>
    <w:rsid w:val="0063007C"/>
    <w:rsid w:val="00685563"/>
    <w:rsid w:val="00887ABB"/>
    <w:rsid w:val="00B215ED"/>
    <w:rsid w:val="00BF43FA"/>
    <w:rsid w:val="00D306AF"/>
    <w:rsid w:val="00F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B11F7-7C71-4FCD-9F42-21158DEE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377DD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77DD3"/>
    <w:rPr>
      <w:color w:val="154C94"/>
      <w:u w:val="single"/>
    </w:rPr>
  </w:style>
  <w:style w:type="paragraph" w:customStyle="1" w:styleId="part">
    <w:name w:val="part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77DD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377D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77D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77DD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77DD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77DD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77D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77DD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77DD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77DD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77DD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77DD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77DD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77DD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77D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77DD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77DD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77DD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77DD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77DD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77DD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77DD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77DD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77D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77DD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7D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77DD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77DD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77DD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77DD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77D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77D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77DD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77DD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77DD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77DD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77DD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77DD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77DD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77D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77DD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77DD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77DD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77DD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77DD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77D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77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7D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7D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7DD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77DD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77D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7DD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77DD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77DD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77DD3"/>
    <w:rPr>
      <w:rFonts w:ascii="Symbol" w:hAnsi="Symbol" w:hint="default"/>
    </w:rPr>
  </w:style>
  <w:style w:type="character" w:customStyle="1" w:styleId="onewind3">
    <w:name w:val="onewind3"/>
    <w:basedOn w:val="a0"/>
    <w:rsid w:val="00377DD3"/>
    <w:rPr>
      <w:rFonts w:ascii="Wingdings 3" w:hAnsi="Wingdings 3" w:hint="default"/>
    </w:rPr>
  </w:style>
  <w:style w:type="character" w:customStyle="1" w:styleId="onewind2">
    <w:name w:val="onewind2"/>
    <w:basedOn w:val="a0"/>
    <w:rsid w:val="00377DD3"/>
    <w:rPr>
      <w:rFonts w:ascii="Wingdings 2" w:hAnsi="Wingdings 2" w:hint="default"/>
    </w:rPr>
  </w:style>
  <w:style w:type="character" w:customStyle="1" w:styleId="onewind">
    <w:name w:val="onewind"/>
    <w:basedOn w:val="a0"/>
    <w:rsid w:val="00377DD3"/>
    <w:rPr>
      <w:rFonts w:ascii="Wingdings" w:hAnsi="Wingdings" w:hint="default"/>
    </w:rPr>
  </w:style>
  <w:style w:type="character" w:customStyle="1" w:styleId="rednoun">
    <w:name w:val="rednoun"/>
    <w:basedOn w:val="a0"/>
    <w:rsid w:val="00377DD3"/>
  </w:style>
  <w:style w:type="character" w:customStyle="1" w:styleId="post">
    <w:name w:val="post"/>
    <w:basedOn w:val="a0"/>
    <w:rsid w:val="00377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7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77DD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77DD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77DD3"/>
    <w:rPr>
      <w:rFonts w:ascii="Arial" w:hAnsi="Arial" w:cs="Arial" w:hint="default"/>
    </w:rPr>
  </w:style>
  <w:style w:type="table" w:customStyle="1" w:styleId="tablencpi">
    <w:name w:val="tablencpi"/>
    <w:basedOn w:val="a1"/>
    <w:rsid w:val="0037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7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DD3"/>
  </w:style>
  <w:style w:type="paragraph" w:styleId="a7">
    <w:name w:val="footer"/>
    <w:basedOn w:val="a"/>
    <w:link w:val="a8"/>
    <w:uiPriority w:val="99"/>
    <w:unhideWhenUsed/>
    <w:rsid w:val="0037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DD3"/>
  </w:style>
  <w:style w:type="character" w:styleId="a9">
    <w:name w:val="page number"/>
    <w:basedOn w:val="a0"/>
    <w:uiPriority w:val="99"/>
    <w:semiHidden/>
    <w:unhideWhenUsed/>
    <w:rsid w:val="00377DD3"/>
  </w:style>
  <w:style w:type="table" w:styleId="aa">
    <w:name w:val="Table Grid"/>
    <w:basedOn w:val="a1"/>
    <w:uiPriority w:val="59"/>
    <w:rsid w:val="003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2020-02-12T05:23:00Z</dcterms:created>
  <dcterms:modified xsi:type="dcterms:W3CDTF">2020-02-12T05:23:00Z</dcterms:modified>
</cp:coreProperties>
</file>