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242" w:rsidRPr="00147242" w:rsidRDefault="00147242" w:rsidP="00147242">
      <w:pPr>
        <w:shd w:val="clear" w:color="auto" w:fill="FFFFFF"/>
        <w:spacing w:after="450" w:line="360" w:lineRule="atLeast"/>
        <w:outlineLvl w:val="1"/>
        <w:rPr>
          <w:rFonts w:ascii="Tahoma" w:eastAsia="Times New Roman" w:hAnsi="Tahoma" w:cs="Tahoma"/>
          <w:color w:val="5F5F5F"/>
          <w:sz w:val="27"/>
          <w:szCs w:val="27"/>
          <w:lang w:eastAsia="ru-RU"/>
        </w:rPr>
      </w:pPr>
      <w:r w:rsidRPr="00147242">
        <w:rPr>
          <w:rFonts w:ascii="Tahoma" w:eastAsia="Times New Roman" w:hAnsi="Tahoma" w:cs="Tahoma"/>
          <w:color w:val="5F5F5F"/>
          <w:sz w:val="27"/>
          <w:szCs w:val="27"/>
          <w:lang w:eastAsia="ru-RU"/>
        </w:rPr>
        <w:t>Кто и на какие цели может получить средства из инновационного фонда?</w:t>
      </w:r>
    </w:p>
    <w:p w:rsidR="00147242" w:rsidRPr="00147242" w:rsidRDefault="00147242" w:rsidP="0014724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E3E3E"/>
          <w:sz w:val="21"/>
          <w:szCs w:val="21"/>
          <w:lang w:eastAsia="ru-RU"/>
        </w:rPr>
      </w:pPr>
      <w:bookmarkStart w:id="0" w:name="_GoBack"/>
      <w:bookmarkEnd w:id="0"/>
    </w:p>
    <w:p w:rsidR="00147242" w:rsidRPr="00147242" w:rsidRDefault="00147242" w:rsidP="0014724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E3E3E"/>
          <w:sz w:val="21"/>
          <w:szCs w:val="21"/>
          <w:lang w:eastAsia="ru-RU"/>
        </w:rPr>
      </w:pPr>
      <w:r w:rsidRPr="00147242">
        <w:rPr>
          <w:rFonts w:ascii="Tahoma" w:eastAsia="Times New Roman" w:hAnsi="Tahoma" w:cs="Tahoma"/>
          <w:color w:val="3E3E3E"/>
          <w:sz w:val="21"/>
          <w:szCs w:val="21"/>
          <w:lang w:eastAsia="ru-RU"/>
        </w:rPr>
        <w:t xml:space="preserve">Это могут быть как крупные высокотехнологичные производства, так и </w:t>
      </w:r>
      <w:proofErr w:type="spellStart"/>
      <w:r w:rsidRPr="00147242">
        <w:rPr>
          <w:rFonts w:ascii="Tahoma" w:eastAsia="Times New Roman" w:hAnsi="Tahoma" w:cs="Tahoma"/>
          <w:color w:val="3E3E3E"/>
          <w:sz w:val="21"/>
          <w:szCs w:val="21"/>
          <w:lang w:eastAsia="ru-RU"/>
        </w:rPr>
        <w:t>инновационно</w:t>
      </w:r>
      <w:proofErr w:type="spellEnd"/>
      <w:r w:rsidRPr="00147242">
        <w:rPr>
          <w:rFonts w:ascii="Tahoma" w:eastAsia="Times New Roman" w:hAnsi="Tahoma" w:cs="Tahoma"/>
          <w:color w:val="3E3E3E"/>
          <w:sz w:val="21"/>
          <w:szCs w:val="21"/>
          <w:lang w:eastAsia="ru-RU"/>
        </w:rPr>
        <w:t xml:space="preserve">-ориентированные предприятия малого и среднего бизнеса. Фактически это бюджетные средства, которые выделяются на безвозвратной основе, но на определенных условиях. Во-первых, в проектах должны присутствовать новизна, технологичность, научные разработки. Второе условие — при выходе на проектную мощность уровень добавленной стоимости на одного работника должен быть не ниже среднеевропейских показателей (по каждому виду деятельности свои, в среднем 55 тыс. евро). Должна присутствовать </w:t>
      </w:r>
      <w:proofErr w:type="spellStart"/>
      <w:r w:rsidRPr="00147242">
        <w:rPr>
          <w:rFonts w:ascii="Tahoma" w:eastAsia="Times New Roman" w:hAnsi="Tahoma" w:cs="Tahoma"/>
          <w:color w:val="3E3E3E"/>
          <w:sz w:val="21"/>
          <w:szCs w:val="21"/>
          <w:lang w:eastAsia="ru-RU"/>
        </w:rPr>
        <w:t>экспортоориентированность</w:t>
      </w:r>
      <w:proofErr w:type="spellEnd"/>
      <w:r w:rsidRPr="00147242">
        <w:rPr>
          <w:rFonts w:ascii="Tahoma" w:eastAsia="Times New Roman" w:hAnsi="Tahoma" w:cs="Tahoma"/>
          <w:color w:val="3E3E3E"/>
          <w:sz w:val="21"/>
          <w:szCs w:val="21"/>
          <w:lang w:eastAsia="ru-RU"/>
        </w:rPr>
        <w:t xml:space="preserve"> инновационного проекта (превышение объема экспорта над импортом).</w:t>
      </w:r>
    </w:p>
    <w:p w:rsidR="005232D6" w:rsidRDefault="005232D6"/>
    <w:sectPr w:rsidR="005232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242"/>
    <w:rsid w:val="00147242"/>
    <w:rsid w:val="00523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40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4075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0524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06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41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47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1</cp:revision>
  <dcterms:created xsi:type="dcterms:W3CDTF">2023-06-28T12:03:00Z</dcterms:created>
  <dcterms:modified xsi:type="dcterms:W3CDTF">2023-06-28T12:04:00Z</dcterms:modified>
</cp:coreProperties>
</file>