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20" w:rsidRPr="000E58E4" w:rsidRDefault="006B5620" w:rsidP="006B5620">
      <w:pPr>
        <w:jc w:val="center"/>
        <w:rPr>
          <w:b/>
          <w:bCs/>
          <w:sz w:val="28"/>
          <w:szCs w:val="28"/>
        </w:rPr>
      </w:pPr>
      <w:r w:rsidRPr="000E58E4">
        <w:rPr>
          <w:b/>
          <w:bCs/>
          <w:sz w:val="28"/>
          <w:szCs w:val="28"/>
        </w:rPr>
        <w:t xml:space="preserve">Принят в новой редакции </w:t>
      </w:r>
      <w:bookmarkStart w:id="0" w:name="_GoBack"/>
      <w:r w:rsidRPr="000E58E4">
        <w:rPr>
          <w:b/>
          <w:bCs/>
          <w:sz w:val="28"/>
          <w:szCs w:val="28"/>
        </w:rPr>
        <w:t xml:space="preserve">Закон Республики Беларусь </w:t>
      </w: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0E58E4">
        <w:rPr>
          <w:b/>
          <w:bCs/>
          <w:sz w:val="28"/>
          <w:szCs w:val="28"/>
        </w:rPr>
        <w:t>«</w:t>
      </w:r>
      <w:proofErr w:type="gramEnd"/>
      <w:r w:rsidRPr="000E58E4">
        <w:rPr>
          <w:b/>
          <w:bCs/>
          <w:sz w:val="28"/>
          <w:szCs w:val="28"/>
        </w:rPr>
        <w:t>Об охране окружающей среды»</w:t>
      </w:r>
      <w:bookmarkEnd w:id="0"/>
    </w:p>
    <w:p w:rsidR="006B5620" w:rsidRDefault="006B5620" w:rsidP="006B5620">
      <w:pPr>
        <w:jc w:val="center"/>
        <w:rPr>
          <w:sz w:val="16"/>
          <w:szCs w:val="16"/>
        </w:rPr>
      </w:pPr>
    </w:p>
    <w:p w:rsidR="006B5620" w:rsidRPr="000E58E4" w:rsidRDefault="006B5620" w:rsidP="006B5620">
      <w:pPr>
        <w:ind w:firstLine="709"/>
        <w:jc w:val="both"/>
        <w:rPr>
          <w:color w:val="000000" w:themeColor="text1"/>
          <w:sz w:val="28"/>
          <w:szCs w:val="28"/>
        </w:rPr>
      </w:pPr>
      <w:r w:rsidRPr="000E58E4">
        <w:rPr>
          <w:sz w:val="28"/>
          <w:szCs w:val="28"/>
        </w:rPr>
        <w:t>17 июля 2023 г. Президентом Республики Беларусь </w:t>
      </w:r>
      <w:r w:rsidRPr="000E58E4">
        <w:rPr>
          <w:bCs/>
          <w:sz w:val="28"/>
          <w:szCs w:val="28"/>
        </w:rPr>
        <w:t>подписан Закон Республики Беларусь «Об изменении Закона Республики Беларусь «Об охране окружающей среды»</w:t>
      </w:r>
      <w:r w:rsidRPr="000E58E4">
        <w:rPr>
          <w:sz w:val="28"/>
          <w:szCs w:val="28"/>
        </w:rPr>
        <w:t> </w:t>
      </w:r>
      <w:r w:rsidRPr="000E58E4">
        <w:rPr>
          <w:color w:val="000000" w:themeColor="text1"/>
          <w:sz w:val="28"/>
          <w:szCs w:val="28"/>
        </w:rPr>
        <w:t>(опубликован на </w:t>
      </w:r>
      <w:hyperlink r:id="rId4" w:history="1">
        <w:r w:rsidRPr="000E58E4">
          <w:rPr>
            <w:rStyle w:val="a5"/>
            <w:color w:val="000000" w:themeColor="text1"/>
            <w:sz w:val="28"/>
            <w:szCs w:val="28"/>
          </w:rPr>
          <w:t>Национальном правовом Интернет-портале Республики Беларусь</w:t>
        </w:r>
      </w:hyperlink>
      <w:r w:rsidRPr="000E58E4">
        <w:rPr>
          <w:color w:val="000000" w:themeColor="text1"/>
          <w:sz w:val="28"/>
          <w:szCs w:val="28"/>
        </w:rPr>
        <w:t>, 25.07.2023, 2/3014).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b/>
          <w:bCs/>
          <w:sz w:val="28"/>
          <w:szCs w:val="28"/>
        </w:rPr>
        <w:t>Основные новации, которые излагаются в Законе Республики Беларусь «Об изменении Закона Республики Беларусь «Об охране окружающей среды» (далее – Закон).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В Законе комплексно пересмотрены требования в области охраны окружающей среды, предъявляемые </w:t>
      </w:r>
      <w:r w:rsidRPr="000E58E4">
        <w:rPr>
          <w:b/>
          <w:bCs/>
          <w:sz w:val="28"/>
          <w:szCs w:val="28"/>
        </w:rPr>
        <w:t>к осуществлению хозяйственной деятельности</w:t>
      </w:r>
      <w:r w:rsidRPr="000E58E4">
        <w:rPr>
          <w:sz w:val="28"/>
          <w:szCs w:val="28"/>
        </w:rPr>
        <w:t xml:space="preserve">. Устанавливаются требования, которые должны соблюдаться при разработке </w:t>
      </w:r>
      <w:proofErr w:type="spellStart"/>
      <w:r w:rsidRPr="000E58E4">
        <w:rPr>
          <w:sz w:val="28"/>
          <w:szCs w:val="28"/>
        </w:rPr>
        <w:t>предпроектной</w:t>
      </w:r>
      <w:proofErr w:type="spellEnd"/>
      <w:r w:rsidRPr="000E58E4">
        <w:rPr>
          <w:sz w:val="28"/>
          <w:szCs w:val="28"/>
        </w:rPr>
        <w:t xml:space="preserve"> (</w:t>
      </w:r>
      <w:proofErr w:type="spellStart"/>
      <w:r w:rsidRPr="000E58E4">
        <w:rPr>
          <w:sz w:val="28"/>
          <w:szCs w:val="28"/>
        </w:rPr>
        <w:t>предынвестиционной</w:t>
      </w:r>
      <w:proofErr w:type="spellEnd"/>
      <w:r w:rsidRPr="000E58E4">
        <w:rPr>
          <w:sz w:val="28"/>
          <w:szCs w:val="28"/>
        </w:rPr>
        <w:t>) документации по объектам хозяйственной и иной деятельности (требования предъявлялись только к проектной документации), уточнены виды строительной деятельности, к которой предъявляются такие требования (возведение, реконструкция, техническая модернизация, ремонтно-реставрационные работы, капитальный ремонт, снос объектов). Устанавливаются требования при приемке в эксплуатацию объектов и их эксплуатации, выводе из эксплуатации (проведение мероприятий по восстановлению природной среды, рекультивации земель, экологической реабилитации загрязненных территорий, компенсационных мероприятий). 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b/>
          <w:bCs/>
          <w:sz w:val="28"/>
          <w:szCs w:val="28"/>
        </w:rPr>
        <w:t>Уточнены объекты использования атомной энергии,</w:t>
      </w:r>
      <w:r w:rsidRPr="000E58E4">
        <w:rPr>
          <w:sz w:val="28"/>
          <w:szCs w:val="28"/>
        </w:rPr>
        <w:t> к которым устанавливаются соответствующие требования (установки для производства или обогащения ядерного материала, объекты для хранения ядерных материалов, объекты, предназначенные для обезвреживания, переработки, хранения и (или) захоронения радиоактивных отходов и др.). 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С целью предотвращения вредного воздействия отходов на окружающую среду и здоровье людей при работе отдельных объектов по использованию, объектов обезвреживания отходов </w:t>
      </w:r>
      <w:r w:rsidRPr="000E58E4">
        <w:rPr>
          <w:b/>
          <w:bCs/>
          <w:sz w:val="28"/>
          <w:szCs w:val="28"/>
        </w:rPr>
        <w:t>вводятся требования к эксплуатации мобильных установок </w:t>
      </w:r>
      <w:r w:rsidRPr="000E58E4">
        <w:rPr>
          <w:sz w:val="28"/>
          <w:szCs w:val="28"/>
        </w:rPr>
        <w:t>по использованию и (или) обезвреживанию отходов.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Так, в частности, для возможности эксплуатации таких установок в соответствующей документации должны предусматриваться проектные решения по устройству площадок (складов) для хранения отходов и продукции, инженерных и транспортных коммуникаций и иных сооружений, направленных на предотвращение загрязнения окружающей среды и обеспечение нормативов допустимого воздействия на окружающую среду, а также мероприятия по охране окружающей среды.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Допускается возможность эксплуатации мобильных установок по использованию отходов вне территории соответствующего объекта по использованию отходов, например, на строительных площадках в местах, определенных проектной документацией, для ликвидации последствий чрезвычайных ситуаций и использования древесных отходов при проведении рубок леса, удалении деревьев, кустарников за пределами населенных пунктов.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</w:p>
    <w:p w:rsidR="006B5620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Законом актуализированы положения, регламентирующие </w:t>
      </w:r>
      <w:r w:rsidRPr="000E58E4">
        <w:rPr>
          <w:b/>
          <w:bCs/>
          <w:sz w:val="28"/>
          <w:szCs w:val="28"/>
        </w:rPr>
        <w:t>вопросы нормирования в области охраны окружающей среды</w:t>
      </w:r>
      <w:r>
        <w:rPr>
          <w:sz w:val="28"/>
          <w:szCs w:val="28"/>
        </w:rPr>
        <w:t>, которые являю</w:t>
      </w:r>
      <w:r w:rsidRPr="000E58E4">
        <w:rPr>
          <w:sz w:val="28"/>
          <w:szCs w:val="28"/>
        </w:rPr>
        <w:t xml:space="preserve">тся одним из механизмов обеспечения благоприятной окружающей среды. 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lastRenderedPageBreak/>
        <w:t>С учетом</w:t>
      </w:r>
      <w:r w:rsidRPr="000E58E4">
        <w:rPr>
          <w:b/>
          <w:bCs/>
          <w:sz w:val="28"/>
          <w:szCs w:val="28"/>
        </w:rPr>
        <w:t> влияния климатических изменений </w:t>
      </w:r>
      <w:r w:rsidRPr="000E58E4">
        <w:rPr>
          <w:sz w:val="28"/>
          <w:szCs w:val="28"/>
        </w:rPr>
        <w:t>на здоровье человека, рисков, связанных с опасными погодными явлениями, наносимого экономического ущерба для различных секторов экономики, задачи и направления государственной политики в области охраны окружающей среды дополнены формированием и проведением единой государственной политики по реагированию на изменение климата. В связи с этим, в Законе закрепляются положения по вопросам регулирования воздействия на климат.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В целях государственного регулирования </w:t>
      </w:r>
      <w:r w:rsidRPr="000E58E4">
        <w:rPr>
          <w:b/>
          <w:bCs/>
          <w:sz w:val="28"/>
          <w:szCs w:val="28"/>
        </w:rPr>
        <w:t>деятельности, связанной с выбросами парниковых газов</w:t>
      </w:r>
      <w:r w:rsidRPr="000E58E4">
        <w:rPr>
          <w:sz w:val="28"/>
          <w:szCs w:val="28"/>
        </w:rPr>
        <w:t> и их абсорбции поглотителями, планирования мероприятий по снижению вредного воздействия хозяйственной и иной деятельности на климат, адаптации к его изменению на краткосрочный период, среднесрочную и долгосрочную перспективу устанавливаются обязанности юридических лиц и индивидуальных предпринимателей, осуществляющих хозяйственную и иную деятельность, связанную с выбросами парниковых газов в атмосферный воздух, обязанных сокращать объемы выбросов этих газов и (или) веществ путем внедрения наилучших доступных технических методов. 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В Законе </w:t>
      </w:r>
      <w:r w:rsidRPr="000E58E4">
        <w:rPr>
          <w:b/>
          <w:bCs/>
          <w:sz w:val="28"/>
          <w:szCs w:val="28"/>
        </w:rPr>
        <w:t>уточнен термин «причинение вреда окружающей среде»</w:t>
      </w:r>
      <w:r w:rsidRPr="000E58E4">
        <w:rPr>
          <w:sz w:val="28"/>
          <w:szCs w:val="28"/>
        </w:rPr>
        <w:t>, который дополнен словами «загрязнения земель (включая почвы) химическими и иными веществами, засорения, загрязнения окружающей среды отходами, незаконной рубки».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Законом усовершенствованы подходы к координации деятельности государственных органов и </w:t>
      </w:r>
      <w:r w:rsidRPr="000E58E4">
        <w:rPr>
          <w:b/>
          <w:bCs/>
          <w:sz w:val="28"/>
          <w:szCs w:val="28"/>
        </w:rPr>
        <w:t>взаимодействия с общественностью </w:t>
      </w:r>
      <w:r w:rsidRPr="000E58E4">
        <w:rPr>
          <w:sz w:val="28"/>
          <w:szCs w:val="28"/>
        </w:rPr>
        <w:t>в области охраны окружающей среды, с учетом практики применения расширены и оптимизированы возможности доступа к экологической информации, а также определен исчерпывающий перечень прав, необходимых для обеспечения и защиты неотъемлемого права граждан на благоприятную окружающую среду. 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Урегулированы механизмы </w:t>
      </w:r>
      <w:r w:rsidRPr="000E58E4">
        <w:rPr>
          <w:b/>
          <w:bCs/>
          <w:sz w:val="28"/>
          <w:szCs w:val="28"/>
        </w:rPr>
        <w:t>участия общественности </w:t>
      </w:r>
      <w:r w:rsidRPr="000E58E4">
        <w:rPr>
          <w:sz w:val="28"/>
          <w:szCs w:val="28"/>
        </w:rPr>
        <w:t>в части возможности ознакомления до утверждения заключения государственной экологической экспертизы с информацией, касающейся процесса принятия окончательного решения. 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В отношении документации, предоставляемой для проведения общественной экологической экспертизы, устанавливается требование о предоставлении ее в том же составе, что и для проведения государственной экологической экспертизы.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Закон предусматривает и ряд иных изменений, направленных на повышение эффективности охраны окружающей среды и рационального (устойчивого) использования природных ресурсов.</w:t>
      </w:r>
    </w:p>
    <w:p w:rsidR="006B5620" w:rsidRPr="000E58E4" w:rsidRDefault="006B5620" w:rsidP="006B5620">
      <w:pPr>
        <w:ind w:firstLine="709"/>
        <w:jc w:val="both"/>
        <w:rPr>
          <w:sz w:val="28"/>
          <w:szCs w:val="28"/>
        </w:rPr>
      </w:pPr>
      <w:r w:rsidRPr="000E58E4">
        <w:rPr>
          <w:sz w:val="28"/>
          <w:szCs w:val="28"/>
        </w:rPr>
        <w:t> </w:t>
      </w:r>
    </w:p>
    <w:p w:rsidR="006B5620" w:rsidRDefault="006B5620" w:rsidP="006B5620">
      <w:pPr>
        <w:ind w:left="1429"/>
        <w:jc w:val="both"/>
        <w:rPr>
          <w:sz w:val="28"/>
          <w:szCs w:val="28"/>
        </w:rPr>
      </w:pPr>
    </w:p>
    <w:p w:rsidR="006B5620" w:rsidRDefault="006B5620" w:rsidP="006B5620">
      <w:pPr>
        <w:ind w:left="1429"/>
        <w:jc w:val="both"/>
        <w:rPr>
          <w:sz w:val="28"/>
          <w:szCs w:val="28"/>
        </w:rPr>
      </w:pPr>
    </w:p>
    <w:p w:rsidR="006B5620" w:rsidRDefault="006B5620" w:rsidP="006B5620">
      <w:pPr>
        <w:ind w:left="1429"/>
        <w:jc w:val="both"/>
        <w:rPr>
          <w:sz w:val="28"/>
          <w:szCs w:val="28"/>
        </w:rPr>
      </w:pPr>
    </w:p>
    <w:p w:rsidR="006B5620" w:rsidRDefault="006B5620" w:rsidP="006B5620">
      <w:pPr>
        <w:ind w:left="1429"/>
        <w:jc w:val="both"/>
        <w:rPr>
          <w:sz w:val="28"/>
          <w:szCs w:val="28"/>
        </w:rPr>
      </w:pPr>
    </w:p>
    <w:p w:rsidR="006B5620" w:rsidRDefault="006B5620" w:rsidP="006B5620">
      <w:pPr>
        <w:ind w:left="1429"/>
        <w:jc w:val="both"/>
        <w:rPr>
          <w:sz w:val="28"/>
          <w:szCs w:val="28"/>
        </w:rPr>
      </w:pPr>
    </w:p>
    <w:p w:rsidR="002A5C2D" w:rsidRPr="006B5620" w:rsidRDefault="002A5C2D" w:rsidP="006B5620"/>
    <w:sectPr w:rsidR="002A5C2D" w:rsidRPr="006B5620" w:rsidSect="00AA0F61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A"/>
    <w:rsid w:val="000977AE"/>
    <w:rsid w:val="00163FDA"/>
    <w:rsid w:val="001A32AC"/>
    <w:rsid w:val="002410F9"/>
    <w:rsid w:val="002A5C2D"/>
    <w:rsid w:val="002D5CF6"/>
    <w:rsid w:val="0035138A"/>
    <w:rsid w:val="004026F8"/>
    <w:rsid w:val="004C72A6"/>
    <w:rsid w:val="00655A5D"/>
    <w:rsid w:val="00675071"/>
    <w:rsid w:val="006B5620"/>
    <w:rsid w:val="00885BD3"/>
    <w:rsid w:val="00A05CF2"/>
    <w:rsid w:val="00A42D2F"/>
    <w:rsid w:val="00A71E83"/>
    <w:rsid w:val="00AE7612"/>
    <w:rsid w:val="00B1435A"/>
    <w:rsid w:val="00BE5D1C"/>
    <w:rsid w:val="00CF63D5"/>
    <w:rsid w:val="00D37C97"/>
    <w:rsid w:val="00E06DDA"/>
    <w:rsid w:val="00E75BCD"/>
    <w:rsid w:val="00E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740B-CDA7-45D0-9E40-99F7AD8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D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C72A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D5CF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D5CF6"/>
    <w:rPr>
      <w:b/>
      <w:bCs/>
    </w:rPr>
  </w:style>
  <w:style w:type="paragraph" w:customStyle="1" w:styleId="c3">
    <w:name w:val="c3"/>
    <w:basedOn w:val="a"/>
    <w:rsid w:val="002D5CF6"/>
    <w:pPr>
      <w:spacing w:before="100" w:beforeAutospacing="1" w:after="100" w:afterAutospacing="1"/>
    </w:pPr>
  </w:style>
  <w:style w:type="character" w:customStyle="1" w:styleId="c2">
    <w:name w:val="c2"/>
    <w:basedOn w:val="a0"/>
    <w:rsid w:val="002D5CF6"/>
  </w:style>
  <w:style w:type="character" w:styleId="a8">
    <w:name w:val="Emphasis"/>
    <w:basedOn w:val="a0"/>
    <w:uiPriority w:val="20"/>
    <w:qFormat/>
    <w:rsid w:val="00EA7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ofitsialnoe-opublikovanie/novye-postupleniya/?p0=25.07.2023&amp;p1=25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2023-07-27T07:36:00Z</dcterms:created>
  <dcterms:modified xsi:type="dcterms:W3CDTF">2023-07-27T07:36:00Z</dcterms:modified>
</cp:coreProperties>
</file>