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CD" w:rsidRPr="00F135CD" w:rsidRDefault="00F135CD" w:rsidP="00F135CD">
      <w:pPr>
        <w:shd w:val="clear" w:color="auto" w:fill="FFFFFF"/>
        <w:spacing w:after="450" w:line="360" w:lineRule="atLeast"/>
        <w:outlineLvl w:val="1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  <w:r w:rsidRPr="00F135CD">
        <w:rPr>
          <w:rFonts w:ascii="Tahoma" w:eastAsia="Times New Roman" w:hAnsi="Tahoma" w:cs="Tahoma"/>
          <w:color w:val="5F5F5F"/>
          <w:sz w:val="27"/>
          <w:szCs w:val="27"/>
          <w:lang w:eastAsia="ru-RU"/>
        </w:rPr>
        <w:t>Сложно ли получить финансирование за счет средств инновационного фонда?</w:t>
      </w:r>
    </w:p>
    <w:p w:rsidR="00F135CD" w:rsidRPr="00F135CD" w:rsidRDefault="00F135CD" w:rsidP="00F135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bookmarkStart w:id="0" w:name="_GoBack"/>
      <w:bookmarkEnd w:id="0"/>
    </w:p>
    <w:p w:rsidR="00F135CD" w:rsidRPr="00F135CD" w:rsidRDefault="00F135CD" w:rsidP="00F135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F135C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Основное условие к соискателям — детальная проработка инновационного проекта и разработка бизнес-плана. Затем нужно пройти ведомственную техническую экспертизу Гомельского облисполкома, после этого пройти государственную научно- техническую экспертизу при ГКНТ, далее – прое</w:t>
      </w:r>
      <w:proofErr w:type="gramStart"/>
      <w:r w:rsidRPr="00F135C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кт вкл</w:t>
      </w:r>
      <w:proofErr w:type="gramEnd"/>
      <w:r w:rsidRPr="00F135CD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ючается в Государственную программу инновационного развития.</w:t>
      </w:r>
    </w:p>
    <w:p w:rsidR="005232D6" w:rsidRDefault="005232D6"/>
    <w:sectPr w:rsidR="005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CD"/>
    <w:rsid w:val="005232D6"/>
    <w:rsid w:val="00F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1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2023-06-28T12:04:00Z</dcterms:created>
  <dcterms:modified xsi:type="dcterms:W3CDTF">2023-06-28T12:04:00Z</dcterms:modified>
</cp:coreProperties>
</file>