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07" w:rsidRPr="003A1ABB" w:rsidRDefault="00FB1B07" w:rsidP="00FB1B07">
      <w:pPr>
        <w:pStyle w:val="a4"/>
        <w:jc w:val="both"/>
        <w:rPr>
          <w:b/>
          <w:i/>
          <w:sz w:val="40"/>
          <w:szCs w:val="40"/>
          <w:lang w:eastAsia="ru-RU"/>
        </w:rPr>
      </w:pPr>
      <w:r w:rsidRPr="003A1ABB">
        <w:rPr>
          <w:b/>
          <w:i/>
          <w:sz w:val="40"/>
          <w:szCs w:val="40"/>
          <w:lang w:eastAsia="ru-RU"/>
        </w:rPr>
        <w:t>Всемирный день охраны труда – 28 апреля</w:t>
      </w:r>
    </w:p>
    <w:p w:rsidR="00FB1B07" w:rsidRPr="00FB1B07" w:rsidRDefault="00FB1B07" w:rsidP="00FB1B07">
      <w:pPr>
        <w:pStyle w:val="a4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</w:p>
    <w:p w:rsidR="00FB1B07" w:rsidRPr="00FB1B07" w:rsidRDefault="00FB1B07" w:rsidP="00FB1B07">
      <w:pPr>
        <w:pStyle w:val="a4"/>
        <w:ind w:firstLine="709"/>
        <w:jc w:val="both"/>
        <w:rPr>
          <w:b/>
          <w:bCs/>
          <w:i/>
          <w:sz w:val="30"/>
          <w:szCs w:val="30"/>
          <w:shd w:val="clear" w:color="auto" w:fill="FFFFFF"/>
          <w:lang w:eastAsia="ru-RU"/>
        </w:rPr>
      </w:pPr>
      <w:r w:rsidRPr="00FB1B07">
        <w:rPr>
          <w:i/>
          <w:sz w:val="30"/>
          <w:szCs w:val="30"/>
          <w:shd w:val="clear" w:color="auto" w:fill="FFFFFF"/>
          <w:lang w:eastAsia="ru-RU"/>
        </w:rPr>
        <w:t>Тема Всемирного дня в 202</w:t>
      </w:r>
      <w:r w:rsidR="003A1ABB">
        <w:rPr>
          <w:i/>
          <w:sz w:val="30"/>
          <w:szCs w:val="30"/>
          <w:shd w:val="clear" w:color="auto" w:fill="FFFFFF"/>
          <w:lang w:eastAsia="ru-RU"/>
        </w:rPr>
        <w:t>3</w:t>
      </w:r>
      <w:r w:rsidRPr="00FB1B07">
        <w:rPr>
          <w:i/>
          <w:sz w:val="30"/>
          <w:szCs w:val="30"/>
          <w:shd w:val="clear" w:color="auto" w:fill="FFFFFF"/>
          <w:lang w:eastAsia="ru-RU"/>
        </w:rPr>
        <w:t xml:space="preserve"> году – </w:t>
      </w:r>
      <w:r w:rsidR="003A1ABB">
        <w:rPr>
          <w:b/>
          <w:bCs/>
          <w:i/>
          <w:sz w:val="30"/>
          <w:szCs w:val="30"/>
          <w:shd w:val="clear" w:color="auto" w:fill="FFFFFF"/>
          <w:lang w:eastAsia="ru-RU"/>
        </w:rPr>
        <w:t>Безопасная и здоровая производственная среда – основополагающий принцип и право в сфере труда</w:t>
      </w:r>
      <w:r w:rsidRPr="00FB1B07">
        <w:rPr>
          <w:b/>
          <w:bCs/>
          <w:i/>
          <w:sz w:val="30"/>
          <w:szCs w:val="30"/>
          <w:shd w:val="clear" w:color="auto" w:fill="FFFFFF"/>
          <w:lang w:eastAsia="ru-RU"/>
        </w:rPr>
        <w:t>.</w:t>
      </w:r>
    </w:p>
    <w:p w:rsidR="00FB1B07" w:rsidRDefault="00FB1B07" w:rsidP="00FB1B07">
      <w:pPr>
        <w:pStyle w:val="a4"/>
        <w:ind w:firstLine="709"/>
        <w:jc w:val="both"/>
        <w:rPr>
          <w:i/>
          <w:color w:val="230050"/>
          <w:sz w:val="30"/>
          <w:szCs w:val="30"/>
          <w:shd w:val="clear" w:color="auto" w:fill="FFFFFF"/>
          <w:lang w:eastAsia="ru-RU"/>
        </w:rPr>
      </w:pPr>
    </w:p>
    <w:p w:rsidR="00FB1B07" w:rsidRDefault="003A1ABB" w:rsidP="00FB1B07">
      <w:pPr>
        <w:pStyle w:val="a4"/>
        <w:jc w:val="both"/>
        <w:rPr>
          <w:i/>
          <w:color w:val="230050"/>
          <w:sz w:val="30"/>
          <w:szCs w:val="3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80166" cy="8599136"/>
            <wp:effectExtent l="0" t="0" r="0" b="0"/>
            <wp:docPr id="1" name="Рисунок 1" descr="Постэр Сусветнага дня аховы працы 2023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эр Сусветнага дня аховы працы 2023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48" cy="85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07" w:rsidRDefault="00FB1B07" w:rsidP="00FB1B07">
      <w:pPr>
        <w:pStyle w:val="a4"/>
        <w:ind w:firstLine="709"/>
        <w:jc w:val="both"/>
        <w:rPr>
          <w:i/>
          <w:color w:val="230050"/>
          <w:sz w:val="30"/>
          <w:szCs w:val="30"/>
          <w:shd w:val="clear" w:color="auto" w:fill="FFFFFF"/>
          <w:lang w:eastAsia="ru-RU"/>
        </w:rPr>
      </w:pPr>
    </w:p>
    <w:p w:rsidR="003A1ABB" w:rsidRPr="003A1ABB" w:rsidRDefault="003A1ABB" w:rsidP="003A1ABB">
      <w:pPr>
        <w:ind w:firstLine="709"/>
        <w:jc w:val="both"/>
        <w:rPr>
          <w:rFonts w:cs="Times New Roman"/>
          <w:bCs/>
          <w:i/>
          <w:sz w:val="30"/>
          <w:szCs w:val="30"/>
        </w:rPr>
      </w:pPr>
      <w:r w:rsidRPr="003A1ABB">
        <w:rPr>
          <w:rFonts w:cs="Times New Roman"/>
          <w:bCs/>
          <w:i/>
          <w:sz w:val="30"/>
          <w:szCs w:val="30"/>
        </w:rPr>
        <w:t xml:space="preserve">В целях содействия предотвращению несчастных случаев и заболеваний на рабочих местах </w:t>
      </w:r>
      <w:r w:rsidRPr="003A1ABB">
        <w:rPr>
          <w:rFonts w:cs="Times New Roman"/>
          <w:b/>
          <w:bCs/>
          <w:i/>
          <w:sz w:val="30"/>
          <w:szCs w:val="30"/>
        </w:rPr>
        <w:t>28 апреля во всем мире отмечается Всемирный день охраны труда.</w:t>
      </w:r>
      <w:r w:rsidRPr="003A1ABB">
        <w:rPr>
          <w:rFonts w:cs="Times New Roman"/>
          <w:bCs/>
          <w:i/>
          <w:sz w:val="30"/>
          <w:szCs w:val="30"/>
        </w:rPr>
        <w:t xml:space="preserve"> 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</w:t>
      </w:r>
      <w:bookmarkStart w:id="0" w:name="_GoBack"/>
      <w:bookmarkEnd w:id="0"/>
      <w:r w:rsidRPr="003A1ABB">
        <w:rPr>
          <w:rFonts w:cs="Times New Roman"/>
          <w:bCs/>
          <w:i/>
          <w:sz w:val="30"/>
          <w:szCs w:val="30"/>
        </w:rPr>
        <w:t>ей и специалисты-практики в области охраны труда организуют мероприятия к Всемирному дню.</w:t>
      </w:r>
    </w:p>
    <w:p w:rsidR="003A1ABB" w:rsidRPr="003A1ABB" w:rsidRDefault="003A1ABB" w:rsidP="003A1ABB">
      <w:pPr>
        <w:ind w:firstLine="709"/>
        <w:jc w:val="both"/>
        <w:rPr>
          <w:rFonts w:cs="Times New Roman"/>
          <w:bCs/>
          <w:i/>
          <w:sz w:val="30"/>
          <w:szCs w:val="30"/>
        </w:rPr>
      </w:pPr>
      <w:r w:rsidRPr="003A1ABB">
        <w:rPr>
          <w:rFonts w:cs="Times New Roman"/>
          <w:bCs/>
          <w:i/>
          <w:sz w:val="30"/>
          <w:szCs w:val="30"/>
        </w:rPr>
        <w:t xml:space="preserve">Всемирный день охраны труда 28 апреля 2023 года посвящён </w:t>
      </w:r>
      <w:r w:rsidRPr="003A1ABB">
        <w:rPr>
          <w:rFonts w:cs="Times New Roman"/>
          <w:b/>
          <w:bCs/>
          <w:i/>
          <w:sz w:val="30"/>
          <w:szCs w:val="30"/>
        </w:rPr>
        <w:t>теме безопасной и здоровой производственной среды в качестве основополагающего принципа и права в сфере труда.</w:t>
      </w:r>
    </w:p>
    <w:p w:rsidR="003A1ABB" w:rsidRPr="003A1ABB" w:rsidRDefault="003A1ABB" w:rsidP="003A1ABB">
      <w:pPr>
        <w:ind w:firstLine="709"/>
        <w:jc w:val="both"/>
        <w:rPr>
          <w:i/>
          <w:sz w:val="30"/>
          <w:szCs w:val="30"/>
        </w:rPr>
      </w:pPr>
      <w:r w:rsidRPr="003A1ABB">
        <w:rPr>
          <w:rFonts w:cs="Times New Roman"/>
          <w:i/>
          <w:sz w:val="30"/>
          <w:szCs w:val="30"/>
        </w:rPr>
        <w:t xml:space="preserve">Право на труд, справедливое вознаграждение за него, а также </w:t>
      </w:r>
      <w:r w:rsidRPr="003A1ABB">
        <w:rPr>
          <w:rFonts w:cs="Times New Roman"/>
          <w:b/>
          <w:i/>
          <w:sz w:val="30"/>
          <w:szCs w:val="30"/>
        </w:rPr>
        <w:t>на здоровые и безопасные условия труда</w:t>
      </w:r>
      <w:r w:rsidRPr="003A1ABB">
        <w:rPr>
          <w:rStyle w:val="articlec"/>
          <w:rFonts w:asciiTheme="minorHAnsi" w:eastAsiaTheme="majorEastAsia" w:hAnsiTheme="minorHAnsi"/>
          <w:i/>
          <w:sz w:val="30"/>
          <w:szCs w:val="30"/>
        </w:rPr>
        <w:t xml:space="preserve"> относятся к основополагающим правам граждан, гарантированным Конституцией Республики Беларусь.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 xml:space="preserve">В целях реализации данных прав в республике сформирована соответствующая законодательная база, регламентирующая права и обязанности, как нанимателей (работодателей), так и работников (работающих). Ее основу образуют Трудовой кодекс Республики Беларусь, Закон Республики Беларусь «Об охране труда», акты Главы государства, регулирующие трудовые и связанные с ними отношения, а также принятые в их развитие нормативные правовые акты и технические правовые акты. 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Основные направления государственной политики в области охраны труда определены в статье 5 Закона Республики Беларусь «Об охране труда». К ним относятся: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приоритет сохранения жизни и здоровья работающих;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комплексное решение задач по улучшению условий и охраны труда путем реализации комплекса мер, направленных на улучшение условий и охраны труда, с учетом других направлений экономической и социальной политики, достижений в области науки и техники;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внедрение систем управления охраной труда;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установление единых требований по охране труда для всех работодателей;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lastRenderedPageBreak/>
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информирование граждан, обучение работающих по вопросам охраны труда;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взаимодействие республиканских органов государственного управления и иных государственных организаций, подчиненных Правительству Республики Беларусь, контролирующих (надзорных) органов, профессиональных союзов, работодателей по вопросам охраны труда;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сотрудничество между работодателями и работающими;</w:t>
      </w:r>
    </w:p>
    <w:p w:rsidR="003A1ABB" w:rsidRPr="003A1ABB" w:rsidRDefault="003A1ABB" w:rsidP="003A1ABB">
      <w:pPr>
        <w:pStyle w:val="articleintext"/>
        <w:ind w:firstLine="709"/>
        <w:rPr>
          <w:rFonts w:asciiTheme="minorHAnsi" w:hAnsiTheme="minorHAnsi"/>
          <w:i/>
          <w:sz w:val="30"/>
          <w:szCs w:val="30"/>
        </w:rPr>
      </w:pPr>
      <w:r w:rsidRPr="003A1ABB">
        <w:rPr>
          <w:rFonts w:asciiTheme="minorHAnsi" w:hAnsiTheme="minorHAnsi"/>
          <w:i/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3A1ABB" w:rsidRPr="003A1ABB" w:rsidRDefault="003A1ABB" w:rsidP="003A1AB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A1ABB">
        <w:rPr>
          <w:rFonts w:eastAsia="Calibri" w:cs="Times New Roman"/>
          <w:b/>
          <w:i/>
          <w:sz w:val="30"/>
          <w:szCs w:val="30"/>
        </w:rPr>
        <w:t>Обеспечение охраны труда</w:t>
      </w:r>
      <w:r w:rsidRPr="003A1ABB">
        <w:rPr>
          <w:rFonts w:eastAsia="Calibri" w:cs="Times New Roman"/>
          <w:i/>
          <w:sz w:val="30"/>
          <w:szCs w:val="30"/>
        </w:rPr>
        <w:t xml:space="preserve"> – это повседневная работа, и только при наличии глубокого внутреннего убеждения руководителя организации, иных должностных лиц,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 </w:t>
      </w:r>
    </w:p>
    <w:p w:rsid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</w:p>
    <w:p w:rsidR="00FB1B07" w:rsidRPr="00FB1B07" w:rsidRDefault="00FB1B07" w:rsidP="00FB1B07">
      <w:pPr>
        <w:pStyle w:val="a4"/>
        <w:ind w:firstLine="709"/>
        <w:jc w:val="both"/>
        <w:rPr>
          <w:rFonts w:ascii="Calibri" w:hAnsi="Calibri"/>
          <w:i/>
          <w:sz w:val="30"/>
          <w:szCs w:val="30"/>
        </w:rPr>
      </w:pP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Главный государственный инспектор</w:t>
      </w: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отдела надзора за соблюдением</w:t>
      </w: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законодательства об охране труда</w:t>
      </w: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Гомельского областного управления</w:t>
      </w:r>
    </w:p>
    <w:p w:rsidR="00FB1B07" w:rsidRPr="00FB1B07" w:rsidRDefault="00FB1B07" w:rsidP="00FB1B07">
      <w:pPr>
        <w:pStyle w:val="a4"/>
        <w:tabs>
          <w:tab w:val="left" w:pos="6804"/>
          <w:tab w:val="left" w:pos="7938"/>
        </w:tabs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Департамента государственн</w:t>
      </w:r>
      <w:r w:rsidR="003A1ABB">
        <w:rPr>
          <w:rFonts w:ascii="Calibri" w:hAnsi="Calibri" w:cs="Times New Roman"/>
          <w:i/>
          <w:sz w:val="30"/>
          <w:szCs w:val="30"/>
          <w:lang w:eastAsia="ru-RU"/>
        </w:rPr>
        <w:t>ой инспекции труда</w:t>
      </w:r>
      <w:r w:rsidR="003A1ABB">
        <w:rPr>
          <w:rFonts w:ascii="Calibri" w:hAnsi="Calibri" w:cs="Times New Roman"/>
          <w:i/>
          <w:sz w:val="30"/>
          <w:szCs w:val="30"/>
          <w:lang w:eastAsia="ru-RU"/>
        </w:rPr>
        <w:tab/>
        <w:t xml:space="preserve">            </w:t>
      </w:r>
      <w:r w:rsidRPr="00FB1B07">
        <w:rPr>
          <w:rFonts w:ascii="Calibri" w:hAnsi="Calibri" w:cs="Times New Roman"/>
          <w:i/>
          <w:sz w:val="30"/>
          <w:szCs w:val="30"/>
          <w:lang w:eastAsia="ru-RU"/>
        </w:rPr>
        <w:t xml:space="preserve"> В.</w:t>
      </w:r>
      <w:r w:rsidR="003A1ABB">
        <w:rPr>
          <w:rFonts w:ascii="Calibri" w:hAnsi="Calibri" w:cs="Times New Roman"/>
          <w:i/>
          <w:sz w:val="30"/>
          <w:szCs w:val="30"/>
          <w:lang w:eastAsia="ru-RU"/>
        </w:rPr>
        <w:t>Е.</w:t>
      </w:r>
      <w:r w:rsidRPr="00FB1B07">
        <w:rPr>
          <w:rFonts w:ascii="Calibri" w:hAnsi="Calibri" w:cs="Times New Roman"/>
          <w:i/>
          <w:sz w:val="30"/>
          <w:szCs w:val="30"/>
          <w:lang w:eastAsia="ru-RU"/>
        </w:rPr>
        <w:t> Сафонов</w:t>
      </w:r>
    </w:p>
    <w:sectPr w:rsidR="00FB1B07" w:rsidRPr="00FB1B07" w:rsidSect="003A1A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F6FA7"/>
    <w:multiLevelType w:val="hybridMultilevel"/>
    <w:tmpl w:val="5234224E"/>
    <w:lvl w:ilvl="0" w:tplc="3AC02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C49CE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b w:val="0"/>
      </w:rPr>
    </w:lvl>
    <w:lvl w:ilvl="3" w:tplc="0AE44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7964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CA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07"/>
    <w:rsid w:val="002C3871"/>
    <w:rsid w:val="003852C9"/>
    <w:rsid w:val="003A1ABB"/>
    <w:rsid w:val="0058715F"/>
    <w:rsid w:val="00B619FD"/>
    <w:rsid w:val="00F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855164-FDCD-4961-A3B0-7F1CA394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BB"/>
    <w:pPr>
      <w:spacing w:after="0" w:line="240" w:lineRule="auto"/>
      <w:ind w:firstLine="360"/>
    </w:pPr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FB1B07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B1B07"/>
    <w:pPr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1B07"/>
    <w:rPr>
      <w:b/>
      <w:bCs/>
    </w:rPr>
  </w:style>
  <w:style w:type="paragraph" w:styleId="a4">
    <w:name w:val="No Spacing"/>
    <w:uiPriority w:val="1"/>
    <w:qFormat/>
    <w:rsid w:val="00FB1B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B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B07"/>
    <w:pPr>
      <w:ind w:firstLine="0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B07"/>
    <w:rPr>
      <w:rFonts w:ascii="Tahoma" w:hAnsi="Tahoma" w:cs="Tahoma"/>
      <w:sz w:val="16"/>
      <w:szCs w:val="16"/>
    </w:rPr>
  </w:style>
  <w:style w:type="paragraph" w:customStyle="1" w:styleId="articleintext">
    <w:name w:val="articleintext"/>
    <w:basedOn w:val="a"/>
    <w:uiPriority w:val="99"/>
    <w:rsid w:val="003A1AB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">
    <w:name w:val="articlec"/>
    <w:rsid w:val="003A1AB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U02</cp:lastModifiedBy>
  <cp:revision>2</cp:revision>
  <dcterms:created xsi:type="dcterms:W3CDTF">2023-04-21T08:35:00Z</dcterms:created>
  <dcterms:modified xsi:type="dcterms:W3CDTF">2023-04-21T08:35:00Z</dcterms:modified>
</cp:coreProperties>
</file>